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1679F" w14:textId="77777777" w:rsidR="001E2B90" w:rsidRPr="00A75013" w:rsidRDefault="001E2B90" w:rsidP="00665FC1">
      <w:pPr>
        <w:spacing w:line="276" w:lineRule="auto"/>
        <w:rPr>
          <w:rFonts w:ascii="Arial" w:hAnsi="Arial" w:cs="Arial"/>
          <w:b/>
          <w:bCs/>
          <w:sz w:val="28"/>
          <w:szCs w:val="28"/>
          <w:lang w:val="en-US"/>
        </w:rPr>
      </w:pPr>
      <w:r w:rsidRPr="00A75013">
        <w:rPr>
          <w:rFonts w:ascii="Arial" w:hAnsi="Arial" w:cs="Arial"/>
          <w:b/>
          <w:bCs/>
          <w:sz w:val="28"/>
          <w:szCs w:val="28"/>
          <w:lang w:val="en-US"/>
        </w:rPr>
        <w:t>Right Ventricular Adaptation after Pulmonary Endarterectomy and Balloon Pulmonary Angioplasty in Chronic Thromboembolic Pulmonary Hypertension: A comparative Cardiac MRI-Based Study</w:t>
      </w:r>
    </w:p>
    <w:p w14:paraId="09B9E3CD" w14:textId="55283B4F" w:rsidR="00B018BF" w:rsidRPr="00904DE0" w:rsidRDefault="00FA577D" w:rsidP="00665FC1">
      <w:pPr>
        <w:spacing w:line="276" w:lineRule="auto"/>
        <w:rPr>
          <w:rFonts w:ascii="Arial" w:hAnsi="Arial" w:cs="Arial"/>
          <w:sz w:val="22"/>
          <w:szCs w:val="22"/>
          <w:lang w:val="en-US"/>
        </w:rPr>
      </w:pPr>
      <w:r w:rsidRPr="00904DE0">
        <w:rPr>
          <w:rFonts w:ascii="Arial" w:hAnsi="Arial" w:cs="Arial"/>
          <w:sz w:val="22"/>
          <w:szCs w:val="22"/>
          <w:lang w:val="en-US"/>
        </w:rPr>
        <w:t>Tamara C Rodenburg¹, Satoshi Higuchi¹, Stine Andersen², Elisa Stilling², Jurjan Aman¹, Mads J Andersen², Asger Andersen², Lilian J Meijboom#¹³, Harm Jan Bogaard#¹</w:t>
      </w:r>
      <w:r w:rsidR="00904DE0">
        <w:rPr>
          <w:rFonts w:ascii="Arial" w:hAnsi="Arial" w:cs="Arial"/>
          <w:sz w:val="22"/>
          <w:szCs w:val="22"/>
          <w:lang w:val="en-US"/>
        </w:rPr>
        <w:t xml:space="preserve">, </w:t>
      </w:r>
      <w:r w:rsidR="00904DE0" w:rsidRPr="00904DE0">
        <w:rPr>
          <w:rFonts w:ascii="Arial" w:hAnsi="Arial" w:cs="Arial"/>
          <w:sz w:val="22"/>
          <w:szCs w:val="22"/>
          <w:lang w:val="en-US"/>
        </w:rPr>
        <w:t>2A3C consortium</w:t>
      </w:r>
    </w:p>
    <w:p w14:paraId="1F687AC1" w14:textId="77777777" w:rsidR="00DB4E9E" w:rsidRDefault="00DB4E9E" w:rsidP="00665FC1">
      <w:pPr>
        <w:spacing w:line="276" w:lineRule="auto"/>
        <w:rPr>
          <w:rFonts w:ascii="Arial" w:hAnsi="Arial" w:cs="Arial"/>
          <w:sz w:val="18"/>
          <w:szCs w:val="18"/>
          <w:lang w:val="en-US"/>
        </w:rPr>
      </w:pPr>
    </w:p>
    <w:p w14:paraId="3C786E3F" w14:textId="45566B8B" w:rsidR="00A75013" w:rsidRPr="00DB4E9E" w:rsidRDefault="00904DE0" w:rsidP="00665FC1">
      <w:pPr>
        <w:spacing w:line="276" w:lineRule="auto"/>
        <w:rPr>
          <w:rFonts w:ascii="Arial" w:hAnsi="Arial" w:cs="Arial"/>
          <w:sz w:val="18"/>
          <w:szCs w:val="18"/>
          <w:lang w:val="en-US"/>
        </w:rPr>
      </w:pPr>
      <w:r w:rsidRPr="00DB4E9E">
        <w:rPr>
          <w:rFonts w:ascii="Arial" w:hAnsi="Arial" w:cs="Arial"/>
          <w:sz w:val="18"/>
          <w:szCs w:val="18"/>
          <w:lang w:val="en-US"/>
        </w:rPr>
        <w:t>2A3C consortium</w:t>
      </w:r>
      <w:r w:rsidR="00A75013" w:rsidRPr="00DB4E9E">
        <w:rPr>
          <w:rFonts w:ascii="Arial" w:hAnsi="Arial" w:cs="Arial"/>
          <w:sz w:val="18"/>
          <w:szCs w:val="18"/>
          <w:lang w:val="en-US"/>
        </w:rPr>
        <w:t>: Natalia J Braams¹, Azar Kianzad¹, Esther J Nossent¹, Morten K Jensen², Won Y Kim², Marcel A M Beijk</w:t>
      </w:r>
      <w:r w:rsidRPr="00DB4E9E">
        <w:rPr>
          <w:rFonts w:ascii="Arial" w:hAnsi="Arial" w:cs="Arial"/>
          <w:sz w:val="18"/>
          <w:szCs w:val="18"/>
          <w:lang w:val="en-US"/>
        </w:rPr>
        <w:t>⁴</w:t>
      </w:r>
      <w:r w:rsidR="00A75013" w:rsidRPr="00DB4E9E">
        <w:rPr>
          <w:rFonts w:ascii="Arial" w:hAnsi="Arial" w:cs="Arial"/>
          <w:sz w:val="18"/>
          <w:szCs w:val="18"/>
          <w:lang w:val="en-US"/>
        </w:rPr>
        <w:t>, Rutger J Lely</w:t>
      </w:r>
      <w:r w:rsidRPr="00DB4E9E">
        <w:rPr>
          <w:rFonts w:ascii="Arial" w:hAnsi="Arial" w:cs="Arial"/>
          <w:sz w:val="18"/>
          <w:szCs w:val="18"/>
          <w:vertAlign w:val="superscript"/>
          <w:lang w:val="en-US"/>
        </w:rPr>
        <w:t>3</w:t>
      </w:r>
      <w:r w:rsidR="00A75013" w:rsidRPr="00DB4E9E">
        <w:rPr>
          <w:rFonts w:ascii="Arial" w:hAnsi="Arial" w:cs="Arial"/>
          <w:sz w:val="18"/>
          <w:szCs w:val="18"/>
          <w:lang w:val="en-US"/>
        </w:rPr>
        <w:t>, Jacobus A Winkelman⁵, Lars B Ilkjær⁶, Frances S. de Man¹, Anton Vonk Noordegraaf¹</w:t>
      </w:r>
    </w:p>
    <w:p w14:paraId="24E04A79" w14:textId="77777777" w:rsidR="00FA577D" w:rsidRPr="00904DE0" w:rsidRDefault="00FA577D" w:rsidP="00665FC1">
      <w:pPr>
        <w:spacing w:line="276" w:lineRule="auto"/>
        <w:rPr>
          <w:rFonts w:ascii="Arial" w:hAnsi="Arial" w:cs="Arial"/>
          <w:sz w:val="22"/>
          <w:szCs w:val="22"/>
          <w:lang w:val="en-US"/>
        </w:rPr>
      </w:pPr>
    </w:p>
    <w:p w14:paraId="3B64ECB1" w14:textId="5F63B460" w:rsidR="00B018BF" w:rsidRPr="00904DE0" w:rsidRDefault="00C1130E" w:rsidP="00665FC1">
      <w:pPr>
        <w:spacing w:line="276" w:lineRule="auto"/>
        <w:rPr>
          <w:rFonts w:ascii="Arial" w:hAnsi="Arial" w:cs="Arial"/>
          <w:b/>
          <w:bCs/>
          <w:sz w:val="18"/>
          <w:szCs w:val="18"/>
          <w:lang w:val="en-US"/>
        </w:rPr>
      </w:pPr>
      <w:r w:rsidRPr="00904DE0">
        <w:rPr>
          <w:rFonts w:ascii="Arial" w:hAnsi="Arial" w:cs="Arial"/>
          <w:b/>
          <w:bCs/>
          <w:sz w:val="18"/>
          <w:szCs w:val="18"/>
          <w:lang w:val="en-US"/>
        </w:rPr>
        <w:t>AFFILIATIONS</w:t>
      </w:r>
    </w:p>
    <w:p w14:paraId="56041372" w14:textId="07B2BCCF" w:rsidR="00FA577D" w:rsidRPr="00904DE0" w:rsidRDefault="00FA577D" w:rsidP="00FA577D">
      <w:pPr>
        <w:spacing w:line="276" w:lineRule="auto"/>
        <w:rPr>
          <w:rFonts w:ascii="Arial" w:hAnsi="Arial" w:cs="Arial"/>
          <w:sz w:val="18"/>
          <w:szCs w:val="18"/>
          <w:vertAlign w:val="superscript"/>
          <w:lang w:val="en-US"/>
        </w:rPr>
      </w:pPr>
      <w:r w:rsidRPr="00904DE0">
        <w:rPr>
          <w:rFonts w:ascii="Arial" w:hAnsi="Arial" w:cs="Arial"/>
          <w:sz w:val="18"/>
          <w:szCs w:val="18"/>
          <w:vertAlign w:val="superscript"/>
          <w:lang w:val="en-US"/>
        </w:rPr>
        <w:t xml:space="preserve">1 </w:t>
      </w:r>
      <w:r w:rsidRPr="00904DE0">
        <w:rPr>
          <w:rFonts w:ascii="Arial" w:hAnsi="Arial" w:cs="Arial"/>
          <w:sz w:val="18"/>
          <w:szCs w:val="18"/>
          <w:lang w:val="en-US"/>
        </w:rPr>
        <w:t xml:space="preserve">Amsterdam UMC location Vrije Universiteit Amsterdam, Amsterdam Cardiovascular Sciences, Pulmonary Hypertension and Thrombosis, the Netherlands </w:t>
      </w:r>
    </w:p>
    <w:p w14:paraId="756AE4A3" w14:textId="6F020067" w:rsidR="00FA577D" w:rsidRPr="00904DE0" w:rsidRDefault="00FA577D" w:rsidP="00FA577D">
      <w:pPr>
        <w:spacing w:line="276" w:lineRule="auto"/>
        <w:rPr>
          <w:rFonts w:ascii="Arial" w:hAnsi="Arial" w:cs="Arial"/>
          <w:sz w:val="18"/>
          <w:szCs w:val="18"/>
          <w:vertAlign w:val="superscript"/>
          <w:lang w:val="en-US"/>
        </w:rPr>
      </w:pPr>
      <w:r w:rsidRPr="00904DE0">
        <w:rPr>
          <w:rFonts w:ascii="Arial" w:hAnsi="Arial" w:cs="Arial"/>
          <w:sz w:val="18"/>
          <w:szCs w:val="18"/>
          <w:lang w:val="en-US"/>
        </w:rPr>
        <w:t>² Aarhus University Hospital, Department of Cardiology, Denmark</w:t>
      </w:r>
    </w:p>
    <w:p w14:paraId="551A567D" w14:textId="77777777" w:rsidR="00904DE0" w:rsidRPr="00904DE0" w:rsidRDefault="00FA577D" w:rsidP="00FA577D">
      <w:pPr>
        <w:spacing w:line="276" w:lineRule="auto"/>
        <w:rPr>
          <w:rFonts w:ascii="Arial" w:hAnsi="Arial" w:cs="Arial"/>
          <w:sz w:val="18"/>
          <w:szCs w:val="18"/>
          <w:lang w:val="en-US"/>
        </w:rPr>
      </w:pPr>
      <w:r w:rsidRPr="00904DE0">
        <w:rPr>
          <w:rFonts w:ascii="Arial" w:hAnsi="Arial" w:cs="Arial"/>
          <w:sz w:val="18"/>
          <w:szCs w:val="18"/>
          <w:lang w:val="en-US"/>
        </w:rPr>
        <w:t>³ Amsterdam UMC location Vrije Universiteit Amsterdam, Department of Radiology and Nuclear Medicine, the Netherlands</w:t>
      </w:r>
    </w:p>
    <w:p w14:paraId="1FABE038" w14:textId="42BAFD20" w:rsidR="00904DE0" w:rsidRPr="00904DE0" w:rsidRDefault="00904DE0" w:rsidP="00904DE0">
      <w:pPr>
        <w:spacing w:line="276" w:lineRule="auto"/>
        <w:rPr>
          <w:rFonts w:ascii="Arial" w:hAnsi="Arial" w:cs="Arial"/>
          <w:sz w:val="18"/>
          <w:szCs w:val="18"/>
          <w:lang w:val="en-US"/>
        </w:rPr>
      </w:pPr>
      <w:r w:rsidRPr="00904DE0">
        <w:rPr>
          <w:rFonts w:ascii="Arial" w:hAnsi="Arial" w:cs="Arial"/>
          <w:sz w:val="18"/>
          <w:szCs w:val="18"/>
          <w:lang w:val="en-US"/>
        </w:rPr>
        <w:t xml:space="preserve">⁴ Amsterdam UMC location Vrije Universiteit Amsterdam, Department of Cardiology, Heart Center, Amsterdam Cardiovascular Sciences, the Netherlands </w:t>
      </w:r>
    </w:p>
    <w:p w14:paraId="1FC578B9" w14:textId="7BD33ECD" w:rsidR="00904DE0" w:rsidRPr="00904DE0" w:rsidRDefault="00904DE0" w:rsidP="00904DE0">
      <w:pPr>
        <w:spacing w:line="276" w:lineRule="auto"/>
        <w:rPr>
          <w:rFonts w:ascii="Arial" w:hAnsi="Arial" w:cs="Arial"/>
          <w:sz w:val="18"/>
          <w:szCs w:val="18"/>
          <w:lang w:val="en-US"/>
        </w:rPr>
      </w:pPr>
      <w:r w:rsidRPr="00904DE0">
        <w:rPr>
          <w:rFonts w:ascii="Arial" w:hAnsi="Arial" w:cs="Arial"/>
          <w:sz w:val="18"/>
          <w:szCs w:val="18"/>
          <w:lang w:val="en-US"/>
        </w:rPr>
        <w:t>⁵ Amsterdam UMC, location Vrije Universiteit Amsterdam, Department of Cardiothoracic Surgery, the Netherlands</w:t>
      </w:r>
    </w:p>
    <w:p w14:paraId="3B332E11" w14:textId="55E7A240" w:rsidR="00FA577D" w:rsidRPr="00904DE0" w:rsidRDefault="00904DE0" w:rsidP="00904DE0">
      <w:pPr>
        <w:spacing w:line="276" w:lineRule="auto"/>
        <w:rPr>
          <w:rFonts w:ascii="Arial" w:hAnsi="Arial" w:cs="Arial"/>
          <w:sz w:val="18"/>
          <w:szCs w:val="18"/>
          <w:vertAlign w:val="superscript"/>
          <w:lang w:val="en-US"/>
        </w:rPr>
      </w:pPr>
      <w:r w:rsidRPr="00904DE0">
        <w:rPr>
          <w:rFonts w:ascii="Arial" w:hAnsi="Arial" w:cs="Arial"/>
          <w:sz w:val="18"/>
          <w:szCs w:val="18"/>
          <w:vertAlign w:val="superscript"/>
          <w:lang w:val="en-US"/>
        </w:rPr>
        <w:t>6</w:t>
      </w:r>
      <w:r w:rsidRPr="00904DE0">
        <w:rPr>
          <w:rFonts w:ascii="Arial" w:hAnsi="Arial" w:cs="Arial"/>
          <w:sz w:val="18"/>
          <w:szCs w:val="18"/>
          <w:lang w:val="en-US"/>
        </w:rPr>
        <w:t xml:space="preserve"> Aarhus University Hospital, Department of Cardiothoracic and Vascular Surgery, Denmark</w:t>
      </w:r>
    </w:p>
    <w:p w14:paraId="18D2D3B8" w14:textId="7B14D99F" w:rsidR="00B018BF" w:rsidRPr="00904DE0" w:rsidRDefault="00FA577D" w:rsidP="00FA577D">
      <w:pPr>
        <w:spacing w:line="276" w:lineRule="auto"/>
        <w:rPr>
          <w:rFonts w:ascii="Arial" w:hAnsi="Arial" w:cs="Arial"/>
          <w:sz w:val="18"/>
          <w:szCs w:val="18"/>
          <w:lang w:val="en-US"/>
        </w:rPr>
      </w:pPr>
      <w:r w:rsidRPr="00904DE0">
        <w:rPr>
          <w:rFonts w:ascii="Arial" w:hAnsi="Arial" w:cs="Arial"/>
          <w:sz w:val="18"/>
          <w:szCs w:val="18"/>
          <w:lang w:val="en-US"/>
        </w:rPr>
        <w:t># Contributed equally</w:t>
      </w:r>
    </w:p>
    <w:p w14:paraId="59E006DC" w14:textId="77777777" w:rsidR="00FA577D" w:rsidRPr="00665FC1" w:rsidRDefault="00FA577D" w:rsidP="00FA577D">
      <w:pPr>
        <w:spacing w:line="276" w:lineRule="auto"/>
        <w:rPr>
          <w:rFonts w:ascii="Arial" w:hAnsi="Arial" w:cs="Arial"/>
          <w:sz w:val="22"/>
          <w:szCs w:val="22"/>
          <w:lang w:val="en-US"/>
        </w:rPr>
      </w:pPr>
    </w:p>
    <w:p w14:paraId="6A1C8392" w14:textId="114F63C5" w:rsidR="00FA577D" w:rsidRDefault="00FA577D" w:rsidP="00FA577D">
      <w:pPr>
        <w:spacing w:line="276" w:lineRule="auto"/>
        <w:rPr>
          <w:rFonts w:ascii="Arial" w:hAnsi="Arial" w:cs="Arial"/>
          <w:sz w:val="22"/>
          <w:szCs w:val="22"/>
          <w:lang w:val="en-US"/>
        </w:rPr>
      </w:pPr>
      <w:r w:rsidRPr="00FA577D">
        <w:rPr>
          <w:rFonts w:ascii="Arial" w:hAnsi="Arial" w:cs="Arial"/>
          <w:b/>
          <w:bCs/>
          <w:sz w:val="22"/>
          <w:szCs w:val="22"/>
          <w:lang w:val="en-US"/>
        </w:rPr>
        <w:t>Background</w:t>
      </w:r>
      <w:r>
        <w:rPr>
          <w:rFonts w:ascii="Arial" w:hAnsi="Arial" w:cs="Arial"/>
          <w:b/>
          <w:bCs/>
          <w:sz w:val="22"/>
          <w:szCs w:val="22"/>
          <w:lang w:val="en-US"/>
        </w:rPr>
        <w:t xml:space="preserve"> </w:t>
      </w:r>
      <w:r w:rsidRPr="00FA577D">
        <w:rPr>
          <w:rFonts w:ascii="Arial" w:hAnsi="Arial" w:cs="Arial"/>
          <w:sz w:val="22"/>
          <w:szCs w:val="22"/>
          <w:lang w:val="en-US"/>
        </w:rPr>
        <w:t>Chronic thromboembolic pulmonary hypertension (CTEPH) is associated with elevated right ventricular (RV) afterload and progressive RV remodeling. Balloon pulmonary angioplasty (BPA) has emerged as an established and increasingly used alternative to pulmonary endarterectomy (PEA). This study aimed to evaluate hemodynamic, functional and structural cardiac responses to PEA and BPA, with specific focus on RV reverse remodeling.</w:t>
      </w:r>
    </w:p>
    <w:p w14:paraId="7450B2AD" w14:textId="77777777" w:rsidR="00FA577D" w:rsidRPr="00FA577D" w:rsidRDefault="00FA577D" w:rsidP="00FA577D">
      <w:pPr>
        <w:spacing w:line="276" w:lineRule="auto"/>
        <w:rPr>
          <w:rFonts w:ascii="Arial" w:hAnsi="Arial" w:cs="Arial"/>
          <w:sz w:val="22"/>
          <w:szCs w:val="22"/>
          <w:lang w:val="en-US"/>
        </w:rPr>
      </w:pPr>
    </w:p>
    <w:p w14:paraId="7371878A" w14:textId="6F86EADE" w:rsidR="00FA577D" w:rsidRDefault="00FA577D" w:rsidP="00FA577D">
      <w:pPr>
        <w:spacing w:line="276" w:lineRule="auto"/>
        <w:rPr>
          <w:rFonts w:ascii="Arial" w:hAnsi="Arial" w:cs="Arial"/>
          <w:sz w:val="22"/>
          <w:szCs w:val="22"/>
          <w:lang w:val="en-US"/>
        </w:rPr>
      </w:pPr>
      <w:r w:rsidRPr="00FA577D">
        <w:rPr>
          <w:rFonts w:ascii="Arial" w:hAnsi="Arial" w:cs="Arial"/>
          <w:b/>
          <w:bCs/>
          <w:sz w:val="22"/>
          <w:szCs w:val="22"/>
          <w:lang w:val="en-US"/>
        </w:rPr>
        <w:t>Methods</w:t>
      </w:r>
      <w:r>
        <w:rPr>
          <w:rFonts w:ascii="Arial" w:hAnsi="Arial" w:cs="Arial"/>
          <w:b/>
          <w:bCs/>
          <w:sz w:val="22"/>
          <w:szCs w:val="22"/>
          <w:lang w:val="en-US"/>
        </w:rPr>
        <w:t xml:space="preserve"> </w:t>
      </w:r>
      <w:r w:rsidRPr="00FA577D">
        <w:rPr>
          <w:rFonts w:ascii="Arial" w:hAnsi="Arial" w:cs="Arial"/>
          <w:sz w:val="22"/>
          <w:szCs w:val="22"/>
          <w:lang w:val="en-US"/>
        </w:rPr>
        <w:t>In this prospective, multicenter cohort study, 93 patients with CTEPH (PEA; n</w:t>
      </w:r>
      <w:r w:rsidR="0020010B">
        <w:rPr>
          <w:rFonts w:ascii="Arial" w:hAnsi="Arial" w:cs="Arial"/>
          <w:sz w:val="22"/>
          <w:szCs w:val="22"/>
          <w:lang w:val="en-US"/>
        </w:rPr>
        <w:t xml:space="preserve"> </w:t>
      </w:r>
      <w:r w:rsidRPr="00FA577D">
        <w:rPr>
          <w:rFonts w:ascii="Arial" w:hAnsi="Arial" w:cs="Arial"/>
          <w:sz w:val="22"/>
          <w:szCs w:val="22"/>
          <w:lang w:val="en-US"/>
        </w:rPr>
        <w:t>=</w:t>
      </w:r>
      <w:r w:rsidR="0020010B">
        <w:rPr>
          <w:rFonts w:ascii="Arial" w:hAnsi="Arial" w:cs="Arial"/>
          <w:sz w:val="22"/>
          <w:szCs w:val="22"/>
          <w:lang w:val="en-US"/>
        </w:rPr>
        <w:t xml:space="preserve"> </w:t>
      </w:r>
      <w:r w:rsidRPr="00FA577D">
        <w:rPr>
          <w:rFonts w:ascii="Arial" w:hAnsi="Arial" w:cs="Arial"/>
          <w:sz w:val="22"/>
          <w:szCs w:val="22"/>
          <w:lang w:val="en-US"/>
        </w:rPr>
        <w:t>50, BPA; n</w:t>
      </w:r>
      <w:r w:rsidR="0020010B">
        <w:rPr>
          <w:rFonts w:ascii="Arial" w:hAnsi="Arial" w:cs="Arial"/>
          <w:sz w:val="22"/>
          <w:szCs w:val="22"/>
          <w:lang w:val="en-US"/>
        </w:rPr>
        <w:t xml:space="preserve"> </w:t>
      </w:r>
      <w:r w:rsidRPr="00FA577D">
        <w:rPr>
          <w:rFonts w:ascii="Arial" w:hAnsi="Arial" w:cs="Arial"/>
          <w:sz w:val="22"/>
          <w:szCs w:val="22"/>
          <w:lang w:val="en-US"/>
        </w:rPr>
        <w:t>=</w:t>
      </w:r>
      <w:r w:rsidR="0020010B">
        <w:rPr>
          <w:rFonts w:ascii="Arial" w:hAnsi="Arial" w:cs="Arial"/>
          <w:sz w:val="22"/>
          <w:szCs w:val="22"/>
          <w:lang w:val="en-US"/>
        </w:rPr>
        <w:t xml:space="preserve"> </w:t>
      </w:r>
      <w:r w:rsidRPr="00FA577D">
        <w:rPr>
          <w:rFonts w:ascii="Arial" w:hAnsi="Arial" w:cs="Arial"/>
          <w:sz w:val="22"/>
          <w:szCs w:val="22"/>
          <w:lang w:val="en-US"/>
        </w:rPr>
        <w:t>43) from the Netherlands and Denmark underwent cardiac magnetic resonance imaging, right heart catheterization, exercise testing and biomarker assessment at baseline and 6-months post-intervention</w:t>
      </w:r>
      <w:r w:rsidR="0020010B">
        <w:rPr>
          <w:rFonts w:ascii="Arial" w:hAnsi="Arial" w:cs="Arial"/>
          <w:sz w:val="22"/>
          <w:szCs w:val="22"/>
          <w:lang w:val="en-US"/>
        </w:rPr>
        <w:t xml:space="preserve"> (</w:t>
      </w:r>
      <w:r w:rsidR="0020010B">
        <w:rPr>
          <w:rFonts w:ascii="Arial" w:hAnsi="Arial" w:cs="Arial"/>
          <w:b/>
          <w:bCs/>
          <w:sz w:val="22"/>
          <w:szCs w:val="22"/>
          <w:lang w:val="en-US"/>
        </w:rPr>
        <w:t>Fig. 1</w:t>
      </w:r>
      <w:r w:rsidR="0020010B">
        <w:rPr>
          <w:rFonts w:ascii="Arial" w:hAnsi="Arial" w:cs="Arial"/>
          <w:sz w:val="22"/>
          <w:szCs w:val="22"/>
          <w:lang w:val="en-US"/>
        </w:rPr>
        <w:t>)</w:t>
      </w:r>
      <w:r w:rsidRPr="00FA577D">
        <w:rPr>
          <w:rFonts w:ascii="Arial" w:hAnsi="Arial" w:cs="Arial"/>
          <w:sz w:val="22"/>
          <w:szCs w:val="22"/>
          <w:lang w:val="en-US"/>
        </w:rPr>
        <w:t>. Longitudinal changes were assessed with repeated-measures ANOVA. A subgroup underwent analysis at 18 months.</w:t>
      </w:r>
    </w:p>
    <w:p w14:paraId="390BF034" w14:textId="56E39254" w:rsidR="00FA577D" w:rsidRPr="00FA577D" w:rsidRDefault="00FA577D" w:rsidP="00FA577D">
      <w:pPr>
        <w:spacing w:line="276" w:lineRule="auto"/>
        <w:rPr>
          <w:rFonts w:ascii="Arial" w:hAnsi="Arial" w:cs="Arial"/>
          <w:b/>
          <w:bCs/>
          <w:sz w:val="22"/>
          <w:szCs w:val="22"/>
          <w:lang w:val="en-US"/>
        </w:rPr>
      </w:pPr>
      <w:r w:rsidRPr="00FA577D">
        <w:rPr>
          <w:rFonts w:ascii="Arial" w:hAnsi="Arial" w:cs="Arial"/>
          <w:b/>
          <w:bCs/>
          <w:sz w:val="22"/>
          <w:szCs w:val="22"/>
          <w:lang w:val="en-US"/>
        </w:rPr>
        <w:t xml:space="preserve"> </w:t>
      </w:r>
    </w:p>
    <w:p w14:paraId="2B98A6BB" w14:textId="382ABF27" w:rsidR="00FA577D" w:rsidRDefault="00FA577D" w:rsidP="00FA577D">
      <w:pPr>
        <w:spacing w:line="276" w:lineRule="auto"/>
        <w:rPr>
          <w:rFonts w:ascii="Arial" w:hAnsi="Arial" w:cs="Arial"/>
          <w:sz w:val="22"/>
          <w:szCs w:val="22"/>
          <w:lang w:val="en-US"/>
        </w:rPr>
      </w:pPr>
      <w:r w:rsidRPr="00FA577D">
        <w:rPr>
          <w:rFonts w:ascii="Arial" w:hAnsi="Arial" w:cs="Arial"/>
          <w:b/>
          <w:bCs/>
          <w:sz w:val="22"/>
          <w:szCs w:val="22"/>
          <w:lang w:val="en-US"/>
        </w:rPr>
        <w:t>Results</w:t>
      </w:r>
      <w:r>
        <w:rPr>
          <w:rFonts w:ascii="Arial" w:hAnsi="Arial" w:cs="Arial"/>
          <w:b/>
          <w:bCs/>
          <w:sz w:val="22"/>
          <w:szCs w:val="22"/>
          <w:lang w:val="en-US"/>
        </w:rPr>
        <w:t xml:space="preserve"> </w:t>
      </w:r>
      <w:r w:rsidRPr="00FA577D">
        <w:rPr>
          <w:rFonts w:ascii="Arial" w:hAnsi="Arial" w:cs="Arial"/>
          <w:sz w:val="22"/>
          <w:szCs w:val="22"/>
          <w:lang w:val="en-US"/>
        </w:rPr>
        <w:t>BPA patients were older (68.9</w:t>
      </w:r>
      <w:r w:rsidR="0020010B">
        <w:rPr>
          <w:rFonts w:ascii="Arial" w:hAnsi="Arial" w:cs="Arial"/>
          <w:sz w:val="22"/>
          <w:szCs w:val="22"/>
          <w:lang w:val="en-US"/>
        </w:rPr>
        <w:t xml:space="preserve"> </w:t>
      </w:r>
      <w:r w:rsidRPr="00FA577D">
        <w:rPr>
          <w:rFonts w:ascii="Arial" w:hAnsi="Arial" w:cs="Arial"/>
          <w:sz w:val="22"/>
          <w:szCs w:val="22"/>
          <w:lang w:val="en-US"/>
        </w:rPr>
        <w:t>±10.1 vs. 62.4</w:t>
      </w:r>
      <w:r w:rsidR="0020010B">
        <w:rPr>
          <w:rFonts w:ascii="Arial" w:hAnsi="Arial" w:cs="Arial"/>
          <w:sz w:val="22"/>
          <w:szCs w:val="22"/>
          <w:lang w:val="en-US"/>
        </w:rPr>
        <w:t xml:space="preserve"> </w:t>
      </w:r>
      <w:r w:rsidRPr="00FA577D">
        <w:rPr>
          <w:rFonts w:ascii="Arial" w:hAnsi="Arial" w:cs="Arial"/>
          <w:sz w:val="22"/>
          <w:szCs w:val="22"/>
          <w:lang w:val="en-US"/>
        </w:rPr>
        <w:t>±11.1 years, p</w:t>
      </w:r>
      <w:r w:rsidR="0020010B">
        <w:rPr>
          <w:rFonts w:ascii="Arial" w:hAnsi="Arial" w:cs="Arial"/>
          <w:sz w:val="22"/>
          <w:szCs w:val="22"/>
          <w:lang w:val="en-US"/>
        </w:rPr>
        <w:t xml:space="preserve"> </w:t>
      </w:r>
      <w:r w:rsidRPr="00FA577D">
        <w:rPr>
          <w:rFonts w:ascii="Arial" w:hAnsi="Arial" w:cs="Arial"/>
          <w:sz w:val="22"/>
          <w:szCs w:val="22"/>
          <w:lang w:val="en-US"/>
        </w:rPr>
        <w:t>=</w:t>
      </w:r>
      <w:r w:rsidR="0020010B">
        <w:rPr>
          <w:rFonts w:ascii="Arial" w:hAnsi="Arial" w:cs="Arial"/>
          <w:sz w:val="22"/>
          <w:szCs w:val="22"/>
          <w:lang w:val="en-US"/>
        </w:rPr>
        <w:t xml:space="preserve"> </w:t>
      </w:r>
      <w:r w:rsidRPr="00FA577D">
        <w:rPr>
          <w:rFonts w:ascii="Arial" w:hAnsi="Arial" w:cs="Arial"/>
          <w:sz w:val="22"/>
          <w:szCs w:val="22"/>
          <w:lang w:val="en-US"/>
        </w:rPr>
        <w:t>0.004), and used more PH medication. PEA-treated patients had higher RV mass index at baseline (40.1</w:t>
      </w:r>
      <w:r w:rsidR="0020010B">
        <w:rPr>
          <w:rFonts w:ascii="Arial" w:hAnsi="Arial" w:cs="Arial"/>
          <w:sz w:val="22"/>
          <w:szCs w:val="22"/>
          <w:lang w:val="en-US"/>
        </w:rPr>
        <w:t xml:space="preserve"> </w:t>
      </w:r>
      <w:r w:rsidRPr="00FA577D">
        <w:rPr>
          <w:rFonts w:ascii="Arial" w:hAnsi="Arial" w:cs="Arial"/>
          <w:sz w:val="22"/>
          <w:szCs w:val="22"/>
          <w:lang w:val="en-US"/>
        </w:rPr>
        <w:t>±13.5 vs. 32.9</w:t>
      </w:r>
      <w:r w:rsidR="0020010B">
        <w:rPr>
          <w:rFonts w:ascii="Arial" w:hAnsi="Arial" w:cs="Arial"/>
          <w:sz w:val="22"/>
          <w:szCs w:val="22"/>
          <w:lang w:val="en-US"/>
        </w:rPr>
        <w:t xml:space="preserve"> </w:t>
      </w:r>
      <w:r w:rsidRPr="00FA577D">
        <w:rPr>
          <w:rFonts w:ascii="Arial" w:hAnsi="Arial" w:cs="Arial"/>
          <w:sz w:val="22"/>
          <w:szCs w:val="22"/>
          <w:lang w:val="en-US"/>
        </w:rPr>
        <w:t>±</w:t>
      </w:r>
      <w:r w:rsidR="0020010B">
        <w:rPr>
          <w:rFonts w:ascii="Arial" w:hAnsi="Arial" w:cs="Arial"/>
          <w:sz w:val="22"/>
          <w:szCs w:val="22"/>
          <w:lang w:val="en-US"/>
        </w:rPr>
        <w:t xml:space="preserve"> </w:t>
      </w:r>
      <w:r w:rsidRPr="00FA577D">
        <w:rPr>
          <w:rFonts w:ascii="Arial" w:hAnsi="Arial" w:cs="Arial"/>
          <w:sz w:val="22"/>
          <w:szCs w:val="22"/>
          <w:lang w:val="en-US"/>
        </w:rPr>
        <w:t>12.2 g/m²; p</w:t>
      </w:r>
      <w:r w:rsidR="0020010B">
        <w:rPr>
          <w:rFonts w:ascii="Arial" w:hAnsi="Arial" w:cs="Arial"/>
          <w:sz w:val="22"/>
          <w:szCs w:val="22"/>
          <w:lang w:val="en-US"/>
        </w:rPr>
        <w:t xml:space="preserve"> </w:t>
      </w:r>
      <w:r w:rsidRPr="00FA577D">
        <w:rPr>
          <w:rFonts w:ascii="Arial" w:hAnsi="Arial" w:cs="Arial"/>
          <w:sz w:val="22"/>
          <w:szCs w:val="22"/>
          <w:lang w:val="en-US"/>
        </w:rPr>
        <w:t>=</w:t>
      </w:r>
      <w:r w:rsidR="0020010B">
        <w:rPr>
          <w:rFonts w:ascii="Arial" w:hAnsi="Arial" w:cs="Arial"/>
          <w:sz w:val="22"/>
          <w:szCs w:val="22"/>
          <w:lang w:val="en-US"/>
        </w:rPr>
        <w:t xml:space="preserve"> </w:t>
      </w:r>
      <w:r w:rsidRPr="00FA577D">
        <w:rPr>
          <w:rFonts w:ascii="Arial" w:hAnsi="Arial" w:cs="Arial"/>
          <w:sz w:val="22"/>
          <w:szCs w:val="22"/>
          <w:lang w:val="en-US"/>
        </w:rPr>
        <w:t>0.017), and consistently higher relative RV wall thickness at baseline and follow-up (both 0.4</w:t>
      </w:r>
      <w:r w:rsidR="0020010B">
        <w:rPr>
          <w:rFonts w:ascii="Arial" w:hAnsi="Arial" w:cs="Arial"/>
          <w:sz w:val="22"/>
          <w:szCs w:val="22"/>
          <w:lang w:val="en-US"/>
        </w:rPr>
        <w:t xml:space="preserve"> </w:t>
      </w:r>
      <w:r w:rsidRPr="00FA577D">
        <w:rPr>
          <w:rFonts w:ascii="Arial" w:hAnsi="Arial" w:cs="Arial"/>
          <w:sz w:val="22"/>
          <w:szCs w:val="22"/>
          <w:lang w:val="en-US"/>
        </w:rPr>
        <w:t>±0.1 vs. 0.3</w:t>
      </w:r>
      <w:r w:rsidR="0020010B">
        <w:rPr>
          <w:rFonts w:ascii="Arial" w:hAnsi="Arial" w:cs="Arial"/>
          <w:sz w:val="22"/>
          <w:szCs w:val="22"/>
          <w:lang w:val="en-US"/>
        </w:rPr>
        <w:t xml:space="preserve"> </w:t>
      </w:r>
      <w:r w:rsidRPr="00FA577D">
        <w:rPr>
          <w:rFonts w:ascii="Arial" w:hAnsi="Arial" w:cs="Arial"/>
          <w:sz w:val="22"/>
          <w:szCs w:val="22"/>
          <w:lang w:val="en-US"/>
        </w:rPr>
        <w:t>±0.1; p</w:t>
      </w:r>
      <w:r w:rsidR="0020010B">
        <w:rPr>
          <w:rFonts w:ascii="Arial" w:hAnsi="Arial" w:cs="Arial"/>
          <w:sz w:val="22"/>
          <w:szCs w:val="22"/>
          <w:lang w:val="en-US"/>
        </w:rPr>
        <w:t xml:space="preserve"> </w:t>
      </w:r>
      <w:r w:rsidRPr="00FA577D">
        <w:rPr>
          <w:rFonts w:ascii="Arial" w:hAnsi="Arial" w:cs="Arial"/>
          <w:sz w:val="22"/>
          <w:szCs w:val="22"/>
          <w:lang w:val="en-US"/>
        </w:rPr>
        <w:t>&lt;0.001)</w:t>
      </w:r>
      <w:r w:rsidR="0020010B">
        <w:rPr>
          <w:rFonts w:ascii="Arial" w:hAnsi="Arial" w:cs="Arial"/>
          <w:sz w:val="22"/>
          <w:szCs w:val="22"/>
          <w:lang w:val="en-US"/>
        </w:rPr>
        <w:t xml:space="preserve"> (</w:t>
      </w:r>
      <w:r w:rsidR="0020010B">
        <w:rPr>
          <w:rFonts w:ascii="Arial" w:hAnsi="Arial" w:cs="Arial"/>
          <w:b/>
          <w:bCs/>
          <w:sz w:val="22"/>
          <w:szCs w:val="22"/>
          <w:lang w:val="en-US"/>
        </w:rPr>
        <w:t>Fig. 1</w:t>
      </w:r>
      <w:r w:rsidR="0020010B">
        <w:rPr>
          <w:rFonts w:ascii="Arial" w:hAnsi="Arial" w:cs="Arial"/>
          <w:sz w:val="22"/>
          <w:szCs w:val="22"/>
          <w:lang w:val="en-US"/>
        </w:rPr>
        <w:t>)</w:t>
      </w:r>
      <w:r w:rsidRPr="00FA577D">
        <w:rPr>
          <w:rFonts w:ascii="Arial" w:hAnsi="Arial" w:cs="Arial"/>
          <w:sz w:val="22"/>
          <w:szCs w:val="22"/>
          <w:lang w:val="en-US"/>
        </w:rPr>
        <w:t>. Both interventions improved RV afterload, function and exercise capacity (all p</w:t>
      </w:r>
      <w:r w:rsidR="0020010B">
        <w:rPr>
          <w:rFonts w:ascii="Arial" w:hAnsi="Arial" w:cs="Arial"/>
          <w:sz w:val="22"/>
          <w:szCs w:val="22"/>
          <w:lang w:val="en-US"/>
        </w:rPr>
        <w:t xml:space="preserve"> </w:t>
      </w:r>
      <w:r w:rsidRPr="00FA577D">
        <w:rPr>
          <w:rFonts w:ascii="Arial" w:hAnsi="Arial" w:cs="Arial"/>
          <w:sz w:val="22"/>
          <w:szCs w:val="22"/>
          <w:lang w:val="en-US"/>
        </w:rPr>
        <w:t>&lt;0.05). Larger hemodynamic improvement after PEA (mPAP and PVR; p-interaction</w:t>
      </w:r>
      <w:r w:rsidR="0020010B">
        <w:rPr>
          <w:rFonts w:ascii="Arial" w:hAnsi="Arial" w:cs="Arial"/>
          <w:sz w:val="22"/>
          <w:szCs w:val="22"/>
          <w:lang w:val="en-US"/>
        </w:rPr>
        <w:t xml:space="preserve"> </w:t>
      </w:r>
      <w:r w:rsidRPr="00FA577D">
        <w:rPr>
          <w:rFonts w:ascii="Arial" w:hAnsi="Arial" w:cs="Arial"/>
          <w:sz w:val="22"/>
          <w:szCs w:val="22"/>
          <w:lang w:val="en-US"/>
        </w:rPr>
        <w:t>≤0.001) was accompanied by more pronounced RV reverse remodeling, including lower follow-up indexed RV volumes (RVEDVi; 76.2</w:t>
      </w:r>
      <w:r>
        <w:rPr>
          <w:rFonts w:ascii="Arial" w:hAnsi="Arial" w:cs="Arial"/>
          <w:sz w:val="22"/>
          <w:szCs w:val="22"/>
          <w:lang w:val="en-US"/>
        </w:rPr>
        <w:t xml:space="preserve"> </w:t>
      </w:r>
      <w:r w:rsidRPr="00FA577D">
        <w:rPr>
          <w:rFonts w:ascii="Arial" w:hAnsi="Arial" w:cs="Arial"/>
          <w:sz w:val="22"/>
          <w:szCs w:val="22"/>
          <w:lang w:val="en-US"/>
        </w:rPr>
        <w:t>±16.8 vs. 92.2</w:t>
      </w:r>
      <w:r>
        <w:rPr>
          <w:rFonts w:ascii="Arial" w:hAnsi="Arial" w:cs="Arial"/>
          <w:sz w:val="22"/>
          <w:szCs w:val="22"/>
          <w:lang w:val="en-US"/>
        </w:rPr>
        <w:t xml:space="preserve"> </w:t>
      </w:r>
      <w:r w:rsidRPr="00FA577D">
        <w:rPr>
          <w:rFonts w:ascii="Arial" w:hAnsi="Arial" w:cs="Arial"/>
          <w:sz w:val="22"/>
          <w:szCs w:val="22"/>
          <w:lang w:val="en-US"/>
        </w:rPr>
        <w:t>±20.2 mL/m²; p</w:t>
      </w:r>
      <w:r>
        <w:rPr>
          <w:rFonts w:ascii="Arial" w:hAnsi="Arial" w:cs="Arial"/>
          <w:sz w:val="22"/>
          <w:szCs w:val="22"/>
          <w:lang w:val="en-US"/>
        </w:rPr>
        <w:t xml:space="preserve"> </w:t>
      </w:r>
      <w:r w:rsidRPr="00FA577D">
        <w:rPr>
          <w:rFonts w:ascii="Arial" w:hAnsi="Arial" w:cs="Arial"/>
          <w:sz w:val="22"/>
          <w:szCs w:val="22"/>
          <w:lang w:val="en-US"/>
        </w:rPr>
        <w:t xml:space="preserve">&lt;0.001 and </w:t>
      </w:r>
      <w:proofErr w:type="spellStart"/>
      <w:r w:rsidRPr="00FA577D">
        <w:rPr>
          <w:rFonts w:ascii="Arial" w:hAnsi="Arial" w:cs="Arial"/>
          <w:sz w:val="22"/>
          <w:szCs w:val="22"/>
          <w:lang w:val="en-US"/>
        </w:rPr>
        <w:t>RVESVi</w:t>
      </w:r>
      <w:proofErr w:type="spellEnd"/>
      <w:r w:rsidRPr="00FA577D">
        <w:rPr>
          <w:rFonts w:ascii="Arial" w:hAnsi="Arial" w:cs="Arial"/>
          <w:sz w:val="22"/>
          <w:szCs w:val="22"/>
          <w:lang w:val="en-US"/>
        </w:rPr>
        <w:t>; 39.0</w:t>
      </w:r>
      <w:r>
        <w:rPr>
          <w:rFonts w:ascii="Arial" w:hAnsi="Arial" w:cs="Arial"/>
          <w:sz w:val="22"/>
          <w:szCs w:val="22"/>
          <w:lang w:val="en-US"/>
        </w:rPr>
        <w:t xml:space="preserve"> </w:t>
      </w:r>
      <w:r w:rsidRPr="00FA577D">
        <w:rPr>
          <w:rFonts w:ascii="Arial" w:hAnsi="Arial" w:cs="Arial"/>
          <w:sz w:val="22"/>
          <w:szCs w:val="22"/>
          <w:lang w:val="en-US"/>
        </w:rPr>
        <w:t>±</w:t>
      </w:r>
      <w:r>
        <w:rPr>
          <w:rFonts w:ascii="Arial" w:hAnsi="Arial" w:cs="Arial"/>
          <w:sz w:val="22"/>
          <w:szCs w:val="22"/>
          <w:lang w:val="en-US"/>
        </w:rPr>
        <w:t xml:space="preserve"> </w:t>
      </w:r>
      <w:r w:rsidRPr="00FA577D">
        <w:rPr>
          <w:rFonts w:ascii="Arial" w:hAnsi="Arial" w:cs="Arial"/>
          <w:sz w:val="22"/>
          <w:szCs w:val="22"/>
          <w:lang w:val="en-US"/>
        </w:rPr>
        <w:t>15.6 vs. 49.0</w:t>
      </w:r>
      <w:r>
        <w:rPr>
          <w:rFonts w:ascii="Arial" w:hAnsi="Arial" w:cs="Arial"/>
          <w:sz w:val="22"/>
          <w:szCs w:val="22"/>
          <w:lang w:val="en-US"/>
        </w:rPr>
        <w:t xml:space="preserve"> </w:t>
      </w:r>
      <w:r w:rsidRPr="00FA577D">
        <w:rPr>
          <w:rFonts w:ascii="Arial" w:hAnsi="Arial" w:cs="Arial"/>
          <w:sz w:val="22"/>
          <w:szCs w:val="22"/>
          <w:lang w:val="en-US"/>
        </w:rPr>
        <w:t>±18.8 mL/m²; p</w:t>
      </w:r>
      <w:r>
        <w:rPr>
          <w:rFonts w:ascii="Arial" w:hAnsi="Arial" w:cs="Arial"/>
          <w:sz w:val="22"/>
          <w:szCs w:val="22"/>
          <w:lang w:val="en-US"/>
        </w:rPr>
        <w:t xml:space="preserve"> </w:t>
      </w:r>
      <w:r w:rsidRPr="00FA577D">
        <w:rPr>
          <w:rFonts w:ascii="Arial" w:hAnsi="Arial" w:cs="Arial"/>
          <w:sz w:val="22"/>
          <w:szCs w:val="22"/>
          <w:lang w:val="en-US"/>
        </w:rPr>
        <w:t>=</w:t>
      </w:r>
      <w:r>
        <w:rPr>
          <w:rFonts w:ascii="Arial" w:hAnsi="Arial" w:cs="Arial"/>
          <w:sz w:val="22"/>
          <w:szCs w:val="22"/>
          <w:lang w:val="en-US"/>
        </w:rPr>
        <w:t xml:space="preserve"> </w:t>
      </w:r>
      <w:r w:rsidRPr="00FA577D">
        <w:rPr>
          <w:rFonts w:ascii="Arial" w:hAnsi="Arial" w:cs="Arial"/>
          <w:sz w:val="22"/>
          <w:szCs w:val="22"/>
          <w:lang w:val="en-US"/>
        </w:rPr>
        <w:t>0.014).</w:t>
      </w:r>
    </w:p>
    <w:p w14:paraId="22909A3B" w14:textId="77777777" w:rsidR="00FA577D" w:rsidRPr="00FA577D" w:rsidRDefault="00FA577D" w:rsidP="00FA577D">
      <w:pPr>
        <w:spacing w:line="276" w:lineRule="auto"/>
        <w:rPr>
          <w:rFonts w:ascii="Arial" w:hAnsi="Arial" w:cs="Arial"/>
          <w:sz w:val="22"/>
          <w:szCs w:val="22"/>
          <w:lang w:val="en-US"/>
        </w:rPr>
      </w:pPr>
    </w:p>
    <w:p w14:paraId="5225D68B" w14:textId="7510ABEC" w:rsidR="00FA577D" w:rsidRDefault="00FA577D" w:rsidP="00FA577D">
      <w:pPr>
        <w:spacing w:line="276" w:lineRule="auto"/>
        <w:rPr>
          <w:rFonts w:ascii="Arial" w:hAnsi="Arial" w:cs="Arial"/>
          <w:noProof/>
          <w:lang w:val="en-US"/>
        </w:rPr>
      </w:pPr>
      <w:r w:rsidRPr="00FA577D">
        <w:rPr>
          <w:rFonts w:ascii="Arial" w:hAnsi="Arial" w:cs="Arial"/>
          <w:b/>
          <w:bCs/>
          <w:sz w:val="22"/>
          <w:szCs w:val="22"/>
          <w:lang w:val="en-US"/>
        </w:rPr>
        <w:t>Conclusions</w:t>
      </w:r>
      <w:r>
        <w:rPr>
          <w:rFonts w:ascii="Arial" w:hAnsi="Arial" w:cs="Arial"/>
          <w:b/>
          <w:bCs/>
          <w:sz w:val="22"/>
          <w:szCs w:val="22"/>
          <w:lang w:val="en-US"/>
        </w:rPr>
        <w:t xml:space="preserve"> </w:t>
      </w:r>
      <w:r w:rsidRPr="00FA577D">
        <w:rPr>
          <w:rFonts w:ascii="Arial" w:hAnsi="Arial" w:cs="Arial"/>
          <w:sz w:val="22"/>
          <w:szCs w:val="22"/>
          <w:lang w:val="en-US"/>
        </w:rPr>
        <w:t>In this multicenter European study, both therapies resulted in significant RV reverse remodeling. PEA achieved more pronounced reductions in indexed RV mass and volumes. Despite favorable outcomes following both treatments, our findings emphasize the need for randomized controlled studies, to optimize treatment strategies for operable and inoperable patients.</w:t>
      </w:r>
    </w:p>
    <w:p w14:paraId="0E221953" w14:textId="77777777" w:rsidR="00FA577D" w:rsidRDefault="00FA577D" w:rsidP="00FA577D">
      <w:pPr>
        <w:spacing w:line="276" w:lineRule="auto"/>
        <w:rPr>
          <w:rFonts w:ascii="Arial" w:hAnsi="Arial" w:cs="Arial"/>
          <w:noProof/>
          <w:lang w:val="en-US"/>
        </w:rPr>
      </w:pPr>
    </w:p>
    <w:p w14:paraId="7055C0F4" w14:textId="5294A7BF" w:rsidR="0020010B" w:rsidRDefault="0020010B" w:rsidP="00FA577D">
      <w:pPr>
        <w:spacing w:line="276" w:lineRule="auto"/>
        <w:rPr>
          <w:rFonts w:ascii="Arial" w:hAnsi="Arial" w:cs="Arial"/>
          <w:noProof/>
          <w:lang w:val="en-US"/>
        </w:rPr>
      </w:pPr>
      <w:r>
        <w:rPr>
          <w:noProof/>
        </w:rPr>
        <w:lastRenderedPageBreak/>
        <w:drawing>
          <wp:anchor distT="0" distB="0" distL="114300" distR="114300" simplePos="0" relativeHeight="251658240" behindDoc="0" locked="0" layoutInCell="1" allowOverlap="1" wp14:anchorId="1B962E67" wp14:editId="40D9BCDC">
            <wp:simplePos x="0" y="0"/>
            <wp:positionH relativeFrom="margin">
              <wp:posOffset>-585470</wp:posOffset>
            </wp:positionH>
            <wp:positionV relativeFrom="paragraph">
              <wp:posOffset>215265</wp:posOffset>
            </wp:positionV>
            <wp:extent cx="6929120" cy="4176395"/>
            <wp:effectExtent l="0" t="0" r="5080" b="0"/>
            <wp:wrapTopAndBottom/>
            <wp:docPr id="243912893" name="Afbeelding 1" descr="Afbeelding met tek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12893" name="Afbeelding 1" descr="Afbeelding met tekst, schermopname&#10;&#10;Door AI gegenereerde inhoud is mogelijk onjuis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071"/>
                    <a:stretch>
                      <a:fillRect/>
                    </a:stretch>
                  </pic:blipFill>
                  <pic:spPr bwMode="auto">
                    <a:xfrm>
                      <a:off x="0" y="0"/>
                      <a:ext cx="6929120" cy="4176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36EFA6" w14:textId="77777777" w:rsidR="0020010B" w:rsidRDefault="0020010B" w:rsidP="0020010B">
      <w:pPr>
        <w:spacing w:line="276" w:lineRule="auto"/>
        <w:rPr>
          <w:rFonts w:ascii="Arial" w:hAnsi="Arial" w:cs="Arial"/>
          <w:b/>
          <w:bCs/>
          <w:lang w:val="en-US"/>
        </w:rPr>
      </w:pPr>
      <w:r w:rsidRPr="0020010B">
        <w:rPr>
          <w:rFonts w:ascii="Arial" w:hAnsi="Arial" w:cs="Arial"/>
          <w:b/>
          <w:bCs/>
          <w:lang w:val="en-US"/>
        </w:rPr>
        <w:t xml:space="preserve">Figure 1. </w:t>
      </w:r>
      <w:r w:rsidRPr="0020010B">
        <w:rPr>
          <w:rFonts w:ascii="Arial" w:hAnsi="Arial" w:cs="Arial"/>
          <w:lang w:val="en-US"/>
        </w:rPr>
        <w:t>Graphical abstract.</w:t>
      </w:r>
      <w:r w:rsidRPr="0020010B">
        <w:rPr>
          <w:rFonts w:ascii="Arial" w:hAnsi="Arial" w:cs="Arial"/>
          <w:b/>
          <w:bCs/>
          <w:lang w:val="en-US"/>
        </w:rPr>
        <w:t xml:space="preserve"> </w:t>
      </w:r>
    </w:p>
    <w:p w14:paraId="1F720091" w14:textId="64080B0A" w:rsidR="0020010B" w:rsidRPr="0020010B" w:rsidRDefault="0020010B" w:rsidP="0020010B">
      <w:pPr>
        <w:spacing w:line="276" w:lineRule="auto"/>
        <w:rPr>
          <w:rFonts w:ascii="Arial" w:hAnsi="Arial" w:cs="Arial"/>
          <w:lang w:val="en-US"/>
        </w:rPr>
      </w:pPr>
      <w:r w:rsidRPr="0020010B">
        <w:rPr>
          <w:rFonts w:ascii="Arial" w:hAnsi="Arial" w:cs="Arial"/>
          <w:lang w:val="en-US"/>
        </w:rPr>
        <w:t>Left</w:t>
      </w:r>
      <w:r>
        <w:rPr>
          <w:rFonts w:ascii="Arial" w:hAnsi="Arial" w:cs="Arial"/>
          <w:lang w:val="en-US"/>
        </w:rPr>
        <w:t xml:space="preserve"> panel</w:t>
      </w:r>
      <w:r w:rsidRPr="0020010B">
        <w:rPr>
          <w:rFonts w:ascii="Arial" w:hAnsi="Arial" w:cs="Arial"/>
          <w:lang w:val="en-US"/>
        </w:rPr>
        <w:t>: Multicenter study design including patients from the Netherlands and Denmark with CTEPH treated with PEA or BPA. Right</w:t>
      </w:r>
      <w:r>
        <w:rPr>
          <w:rFonts w:ascii="Arial" w:hAnsi="Arial" w:cs="Arial"/>
          <w:lang w:val="en-US"/>
        </w:rPr>
        <w:t xml:space="preserve"> panel:</w:t>
      </w:r>
      <w:r w:rsidRPr="0020010B">
        <w:rPr>
          <w:rFonts w:ascii="Arial" w:hAnsi="Arial" w:cs="Arial"/>
          <w:lang w:val="en-US"/>
        </w:rPr>
        <w:t xml:space="preserve"> Key findings from CMR cine analysis of the RV at baseline and follow-up. </w:t>
      </w:r>
    </w:p>
    <w:p w14:paraId="738C7784" w14:textId="6300EB42" w:rsidR="0020010B" w:rsidRPr="0020010B" w:rsidRDefault="0020010B" w:rsidP="0020010B">
      <w:pPr>
        <w:spacing w:line="276" w:lineRule="auto"/>
        <w:rPr>
          <w:rFonts w:ascii="Arial" w:hAnsi="Arial" w:cs="Arial"/>
          <w:lang w:val="en-US"/>
        </w:rPr>
      </w:pPr>
      <w:r w:rsidRPr="0020010B">
        <w:rPr>
          <w:rFonts w:ascii="Arial" w:hAnsi="Arial" w:cs="Arial"/>
          <w:lang w:val="en-US"/>
        </w:rPr>
        <w:t xml:space="preserve">CTEPH = chronic thromboembolic pulmonary hypertension; PEA = pulmonary endarterectomy; BPA = balloon pulmonary angioplasty; CMR = cardiovascular magnetic resonance; RV = right ventricle; </w:t>
      </w:r>
      <w:r w:rsidR="00AF72C2">
        <w:rPr>
          <w:rFonts w:ascii="Arial" w:hAnsi="Arial" w:cs="Arial"/>
          <w:lang w:val="en-US"/>
        </w:rPr>
        <w:br/>
      </w:r>
      <w:r w:rsidRPr="0020010B">
        <w:rPr>
          <w:rFonts w:ascii="Arial" w:hAnsi="Arial" w:cs="Arial"/>
          <w:lang w:val="en-US"/>
        </w:rPr>
        <w:t>RHC = right heart catheterization; CPET = cardiopulmonary exercise testing.</w:t>
      </w:r>
    </w:p>
    <w:p w14:paraId="0A6FB2E4" w14:textId="6ED1EFAC" w:rsidR="0020010B" w:rsidRPr="0020010B" w:rsidRDefault="0020010B" w:rsidP="0020010B">
      <w:pPr>
        <w:spacing w:line="276" w:lineRule="auto"/>
        <w:rPr>
          <w:rFonts w:ascii="Arial" w:hAnsi="Arial" w:cs="Arial"/>
          <w:lang w:val="en-US"/>
        </w:rPr>
      </w:pPr>
    </w:p>
    <w:p w14:paraId="17F033AC" w14:textId="6C63FAAD" w:rsidR="0020010B" w:rsidRDefault="0020010B" w:rsidP="00FA577D">
      <w:pPr>
        <w:spacing w:line="276" w:lineRule="auto"/>
        <w:rPr>
          <w:rFonts w:ascii="Arial" w:hAnsi="Arial" w:cs="Arial"/>
          <w:noProof/>
          <w:lang w:val="en-US"/>
        </w:rPr>
      </w:pPr>
    </w:p>
    <w:p w14:paraId="1A882C1A" w14:textId="77777777" w:rsidR="00FA577D" w:rsidRDefault="00FA577D" w:rsidP="00FA577D">
      <w:pPr>
        <w:spacing w:line="276" w:lineRule="auto"/>
        <w:rPr>
          <w:rFonts w:ascii="Arial" w:hAnsi="Arial" w:cs="Arial"/>
          <w:noProof/>
          <w:lang w:val="en-US"/>
        </w:rPr>
      </w:pPr>
    </w:p>
    <w:sectPr w:rsidR="00FA5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3D4C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2C4539"/>
    <w:multiLevelType w:val="multilevel"/>
    <w:tmpl w:val="E320F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F83704"/>
    <w:multiLevelType w:val="multilevel"/>
    <w:tmpl w:val="B3DC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EC34451"/>
    <w:multiLevelType w:val="multilevel"/>
    <w:tmpl w:val="18FC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6105191">
    <w:abstractNumId w:val="3"/>
  </w:num>
  <w:num w:numId="2" w16cid:durableId="1026445243">
    <w:abstractNumId w:val="6"/>
  </w:num>
  <w:num w:numId="3" w16cid:durableId="593171272">
    <w:abstractNumId w:val="7"/>
  </w:num>
  <w:num w:numId="4" w16cid:durableId="1008337569">
    <w:abstractNumId w:val="4"/>
  </w:num>
  <w:num w:numId="5" w16cid:durableId="1200053308">
    <w:abstractNumId w:val="8"/>
  </w:num>
  <w:num w:numId="6" w16cid:durableId="2086148160">
    <w:abstractNumId w:val="4"/>
  </w:num>
  <w:num w:numId="7" w16cid:durableId="108204942">
    <w:abstractNumId w:val="3"/>
  </w:num>
  <w:num w:numId="8" w16cid:durableId="1159425561">
    <w:abstractNumId w:val="6"/>
  </w:num>
  <w:num w:numId="9" w16cid:durableId="517307843">
    <w:abstractNumId w:val="7"/>
  </w:num>
  <w:num w:numId="10" w16cid:durableId="1375159396">
    <w:abstractNumId w:val="6"/>
  </w:num>
  <w:num w:numId="11" w16cid:durableId="1855998875">
    <w:abstractNumId w:val="6"/>
  </w:num>
  <w:num w:numId="12" w16cid:durableId="888762083">
    <w:abstractNumId w:val="7"/>
  </w:num>
  <w:num w:numId="13" w16cid:durableId="1421874605">
    <w:abstractNumId w:val="7"/>
  </w:num>
  <w:num w:numId="14" w16cid:durableId="2034304253">
    <w:abstractNumId w:val="4"/>
  </w:num>
  <w:num w:numId="15" w16cid:durableId="244612863">
    <w:abstractNumId w:val="4"/>
  </w:num>
  <w:num w:numId="16" w16cid:durableId="1683697826">
    <w:abstractNumId w:val="4"/>
  </w:num>
  <w:num w:numId="17" w16cid:durableId="1427270423">
    <w:abstractNumId w:val="8"/>
  </w:num>
  <w:num w:numId="18" w16cid:durableId="1286042416">
    <w:abstractNumId w:val="3"/>
  </w:num>
  <w:num w:numId="19" w16cid:durableId="322970271">
    <w:abstractNumId w:val="6"/>
  </w:num>
  <w:num w:numId="20" w16cid:durableId="616446539">
    <w:abstractNumId w:val="7"/>
  </w:num>
  <w:num w:numId="21" w16cid:durableId="1937398501">
    <w:abstractNumId w:val="6"/>
  </w:num>
  <w:num w:numId="22" w16cid:durableId="1575697738">
    <w:abstractNumId w:val="6"/>
  </w:num>
  <w:num w:numId="23" w16cid:durableId="1820882858">
    <w:abstractNumId w:val="7"/>
  </w:num>
  <w:num w:numId="24" w16cid:durableId="517737764">
    <w:abstractNumId w:val="7"/>
  </w:num>
  <w:num w:numId="25" w16cid:durableId="1748528906">
    <w:abstractNumId w:val="4"/>
  </w:num>
  <w:num w:numId="26" w16cid:durableId="1343433185">
    <w:abstractNumId w:val="4"/>
  </w:num>
  <w:num w:numId="27" w16cid:durableId="1574968135">
    <w:abstractNumId w:val="4"/>
  </w:num>
  <w:num w:numId="28" w16cid:durableId="714815390">
    <w:abstractNumId w:val="8"/>
  </w:num>
  <w:num w:numId="29" w16cid:durableId="946811711">
    <w:abstractNumId w:val="4"/>
  </w:num>
  <w:num w:numId="30" w16cid:durableId="996882843">
    <w:abstractNumId w:val="4"/>
  </w:num>
  <w:num w:numId="31" w16cid:durableId="1606185036">
    <w:abstractNumId w:val="8"/>
  </w:num>
  <w:num w:numId="32" w16cid:durableId="1115752548">
    <w:abstractNumId w:val="4"/>
  </w:num>
  <w:num w:numId="33" w16cid:durableId="108551630">
    <w:abstractNumId w:val="4"/>
  </w:num>
  <w:num w:numId="34" w16cid:durableId="1409107347">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30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388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02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621149">
    <w:abstractNumId w:val="4"/>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945577525">
    <w:abstractNumId w:val="5"/>
  </w:num>
  <w:num w:numId="40" w16cid:durableId="1805541098">
    <w:abstractNumId w:val="1"/>
  </w:num>
  <w:num w:numId="41" w16cid:durableId="1566799175">
    <w:abstractNumId w:val="2"/>
  </w:num>
  <w:num w:numId="42" w16cid:durableId="53184428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BF"/>
    <w:rsid w:val="000807A4"/>
    <w:rsid w:val="001032A4"/>
    <w:rsid w:val="00156788"/>
    <w:rsid w:val="0018254C"/>
    <w:rsid w:val="001A71D9"/>
    <w:rsid w:val="001E2B90"/>
    <w:rsid w:val="0020010B"/>
    <w:rsid w:val="00225B02"/>
    <w:rsid w:val="0039370D"/>
    <w:rsid w:val="003F304E"/>
    <w:rsid w:val="00476272"/>
    <w:rsid w:val="004E10E2"/>
    <w:rsid w:val="00505539"/>
    <w:rsid w:val="00506189"/>
    <w:rsid w:val="005147C8"/>
    <w:rsid w:val="0052269F"/>
    <w:rsid w:val="005B2AF3"/>
    <w:rsid w:val="005E4B36"/>
    <w:rsid w:val="00665FC1"/>
    <w:rsid w:val="006C2728"/>
    <w:rsid w:val="006E1286"/>
    <w:rsid w:val="00741411"/>
    <w:rsid w:val="00746B3C"/>
    <w:rsid w:val="007C614D"/>
    <w:rsid w:val="007D0955"/>
    <w:rsid w:val="00821D64"/>
    <w:rsid w:val="00840A00"/>
    <w:rsid w:val="00856F32"/>
    <w:rsid w:val="008D7D71"/>
    <w:rsid w:val="00904C40"/>
    <w:rsid w:val="00904DE0"/>
    <w:rsid w:val="00915C38"/>
    <w:rsid w:val="009221F5"/>
    <w:rsid w:val="00944185"/>
    <w:rsid w:val="009647D1"/>
    <w:rsid w:val="009B60D0"/>
    <w:rsid w:val="00A67C79"/>
    <w:rsid w:val="00A75013"/>
    <w:rsid w:val="00AD3036"/>
    <w:rsid w:val="00AF72C2"/>
    <w:rsid w:val="00B018BF"/>
    <w:rsid w:val="00B42813"/>
    <w:rsid w:val="00B960B4"/>
    <w:rsid w:val="00BA712E"/>
    <w:rsid w:val="00BB0BD6"/>
    <w:rsid w:val="00C1130E"/>
    <w:rsid w:val="00C22DBB"/>
    <w:rsid w:val="00CF0BFA"/>
    <w:rsid w:val="00D449EC"/>
    <w:rsid w:val="00D66FC4"/>
    <w:rsid w:val="00DB4E9E"/>
    <w:rsid w:val="00DF6498"/>
    <w:rsid w:val="00E1684F"/>
    <w:rsid w:val="00E366D2"/>
    <w:rsid w:val="00E55BEF"/>
    <w:rsid w:val="00F04C99"/>
    <w:rsid w:val="00F223DD"/>
    <w:rsid w:val="00F631B9"/>
    <w:rsid w:val="00FA577D"/>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52FF"/>
  <w15:chartTrackingRefBased/>
  <w15:docId w15:val="{EFEC3834-F591-4F74-810A-C6218CF6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813"/>
    <w:pPr>
      <w:spacing w:line="288" w:lineRule="auto"/>
    </w:pPr>
    <w:rPr>
      <w:rFonts w:ascii="Trebuchet MS" w:hAnsi="Trebuchet MS"/>
    </w:rPr>
  </w:style>
  <w:style w:type="paragraph" w:styleId="Kop1">
    <w:name w:val="heading 1"/>
    <w:basedOn w:val="Standaard"/>
    <w:next w:val="Standaard"/>
    <w:link w:val="Kop1Char"/>
    <w:autoRedefine/>
    <w:uiPriority w:val="1"/>
    <w:qFormat/>
    <w:rsid w:val="00DF6498"/>
    <w:pPr>
      <w:keepNext/>
      <w:spacing w:before="240" w:after="60"/>
      <w:outlineLvl w:val="0"/>
    </w:pPr>
    <w:rPr>
      <w:rFonts w:eastAsiaTheme="majorEastAsia" w:cstheme="majorBidi"/>
      <w:b/>
      <w:bCs/>
      <w:kern w:val="32"/>
      <w:sz w:val="28"/>
      <w:szCs w:val="32"/>
    </w:rPr>
  </w:style>
  <w:style w:type="paragraph" w:styleId="Kop2">
    <w:name w:val="heading 2"/>
    <w:basedOn w:val="Standaard"/>
    <w:next w:val="Standaard"/>
    <w:link w:val="Kop2Char"/>
    <w:autoRedefine/>
    <w:uiPriority w:val="1"/>
    <w:qFormat/>
    <w:rsid w:val="00E55BEF"/>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99"/>
    <w:unhideWhenUsed/>
    <w:qFormat/>
    <w:rsid w:val="00DF6498"/>
    <w:pPr>
      <w:keepNext/>
      <w:spacing w:before="120" w:after="60"/>
      <w:contextualSpacing/>
      <w:outlineLvl w:val="2"/>
    </w:pPr>
    <w:rPr>
      <w:rFonts w:eastAsia="Times New Roman"/>
      <w:b/>
      <w:bCs/>
      <w:smallCaps/>
      <w:sz w:val="22"/>
      <w:szCs w:val="26"/>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paragraph" w:styleId="Kop5">
    <w:name w:val="heading 5"/>
    <w:basedOn w:val="Standaard"/>
    <w:next w:val="Standaard"/>
    <w:link w:val="Kop5Char"/>
    <w:uiPriority w:val="1"/>
    <w:semiHidden/>
    <w:unhideWhenUsed/>
    <w:rsid w:val="00B018BF"/>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1"/>
    <w:semiHidden/>
    <w:unhideWhenUsed/>
    <w:qFormat/>
    <w:rsid w:val="00B018B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1"/>
    <w:semiHidden/>
    <w:unhideWhenUsed/>
    <w:qFormat/>
    <w:rsid w:val="00B018B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1"/>
    <w:semiHidden/>
    <w:unhideWhenUsed/>
    <w:qFormat/>
    <w:rsid w:val="00B018B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1"/>
    <w:semiHidden/>
    <w:unhideWhenUsed/>
    <w:qFormat/>
    <w:rsid w:val="00B018B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9"/>
    <w:rsid w:val="00DF6498"/>
    <w:rPr>
      <w:rFonts w:ascii="Trebuchet MS" w:eastAsia="Times New Roman" w:hAnsi="Trebuchet MS"/>
      <w:b/>
      <w:bCs/>
      <w:smallCaps/>
      <w:sz w:val="22"/>
      <w:szCs w:val="26"/>
    </w:rPr>
  </w:style>
  <w:style w:type="character" w:customStyle="1" w:styleId="Kop1Char">
    <w:name w:val="Kop 1 Char"/>
    <w:link w:val="Kop1"/>
    <w:uiPriority w:val="1"/>
    <w:rsid w:val="00DF6498"/>
    <w:rPr>
      <w:rFonts w:ascii="Trebuchet MS" w:eastAsiaTheme="majorEastAsia" w:hAnsi="Trebuchet MS" w:cstheme="majorBidi"/>
      <w:b/>
      <w:bCs/>
      <w:kern w:val="32"/>
      <w:sz w:val="28"/>
      <w:szCs w:val="32"/>
    </w:rPr>
  </w:style>
  <w:style w:type="paragraph" w:styleId="Titel">
    <w:name w:val="Title"/>
    <w:basedOn w:val="Standaard"/>
    <w:next w:val="Standaard"/>
    <w:link w:val="Titel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24"/>
      </w:numPr>
      <w:spacing w:before="20" w:after="20"/>
    </w:pPr>
    <w:rPr>
      <w:szCs w:val="22"/>
      <w:lang w:eastAsia="nl-NL"/>
    </w:rPr>
  </w:style>
  <w:style w:type="paragraph" w:styleId="Lijstopsomteken">
    <w:name w:val="List Bullet"/>
    <w:basedOn w:val="Standaard"/>
    <w:autoRedefine/>
    <w:uiPriority w:val="3"/>
    <w:qFormat/>
    <w:rsid w:val="005B2AF3"/>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qFormat/>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qFormat/>
    <w:rsid w:val="00E55BEF"/>
    <w:pPr>
      <w:numPr>
        <w:ilvl w:val="1"/>
        <w:numId w:val="38"/>
      </w:numPr>
    </w:pPr>
  </w:style>
  <w:style w:type="paragraph" w:customStyle="1" w:styleId="Kop1-genummerd">
    <w:name w:val="Kop 1 - genummerd"/>
    <w:basedOn w:val="Kop1"/>
    <w:next w:val="Standaard"/>
    <w:autoRedefine/>
    <w:uiPriority w:val="2"/>
    <w:qFormat/>
    <w:rsid w:val="00E55BEF"/>
    <w:pPr>
      <w:numPr>
        <w:numId w:val="4"/>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33"/>
      </w:numPr>
    </w:pPr>
  </w:style>
  <w:style w:type="paragraph" w:customStyle="1" w:styleId="Bijlage">
    <w:name w:val="Bijlage"/>
    <w:basedOn w:val="Kop1"/>
    <w:next w:val="Standaard"/>
    <w:autoRedefine/>
    <w:uiPriority w:val="3"/>
    <w:qFormat/>
    <w:rsid w:val="00E55BEF"/>
    <w:pPr>
      <w:numPr>
        <w:numId w:val="31"/>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customStyle="1" w:styleId="Kop5Char">
    <w:name w:val="Kop 5 Char"/>
    <w:basedOn w:val="Standaardalinea-lettertype"/>
    <w:link w:val="Kop5"/>
    <w:uiPriority w:val="1"/>
    <w:semiHidden/>
    <w:rsid w:val="00B018BF"/>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1"/>
    <w:semiHidden/>
    <w:rsid w:val="00B018B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1"/>
    <w:semiHidden/>
    <w:rsid w:val="00B018B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1"/>
    <w:semiHidden/>
    <w:rsid w:val="00B018B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1"/>
    <w:semiHidden/>
    <w:rsid w:val="00B018BF"/>
    <w:rPr>
      <w:rFonts w:asciiTheme="minorHAnsi" w:eastAsiaTheme="majorEastAsia" w:hAnsiTheme="minorHAnsi" w:cstheme="majorBidi"/>
      <w:color w:val="272727" w:themeColor="text1" w:themeTint="D8"/>
    </w:rPr>
  </w:style>
  <w:style w:type="character" w:styleId="Intensievebenadrukking">
    <w:name w:val="Intense Emphasis"/>
    <w:basedOn w:val="Standaardalinea-lettertype"/>
    <w:uiPriority w:val="21"/>
    <w:rsid w:val="00B018BF"/>
    <w:rPr>
      <w:i/>
      <w:iCs/>
      <w:color w:val="365F91" w:themeColor="accent1" w:themeShade="BF"/>
    </w:rPr>
  </w:style>
  <w:style w:type="paragraph" w:styleId="Duidelijkcitaat">
    <w:name w:val="Intense Quote"/>
    <w:basedOn w:val="Standaard"/>
    <w:next w:val="Standaard"/>
    <w:link w:val="DuidelijkcitaatChar"/>
    <w:uiPriority w:val="30"/>
    <w:rsid w:val="00B018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18BF"/>
    <w:rPr>
      <w:rFonts w:ascii="Trebuchet MS" w:hAnsi="Trebuchet MS"/>
      <w:i/>
      <w:iCs/>
      <w:color w:val="365F91" w:themeColor="accent1" w:themeShade="BF"/>
    </w:rPr>
  </w:style>
  <w:style w:type="character" w:styleId="Intensieveverwijzing">
    <w:name w:val="Intense Reference"/>
    <w:basedOn w:val="Standaardalinea-lettertype"/>
    <w:uiPriority w:val="32"/>
    <w:rsid w:val="00B018BF"/>
    <w:rPr>
      <w:b/>
      <w:bCs/>
      <w:smallCaps/>
      <w:color w:val="365F91" w:themeColor="accent1" w:themeShade="BF"/>
      <w:spacing w:val="5"/>
    </w:rPr>
  </w:style>
  <w:style w:type="character" w:styleId="Verwijzingopmerking">
    <w:name w:val="annotation reference"/>
    <w:basedOn w:val="Standaardalinea-lettertype"/>
    <w:uiPriority w:val="99"/>
    <w:semiHidden/>
    <w:unhideWhenUsed/>
    <w:rsid w:val="00FA577D"/>
    <w:rPr>
      <w:sz w:val="16"/>
      <w:szCs w:val="16"/>
    </w:rPr>
  </w:style>
  <w:style w:type="paragraph" w:styleId="Tekstopmerking">
    <w:name w:val="annotation text"/>
    <w:basedOn w:val="Standaard"/>
    <w:link w:val="TekstopmerkingChar"/>
    <w:uiPriority w:val="99"/>
    <w:unhideWhenUsed/>
    <w:rsid w:val="00FA577D"/>
    <w:pPr>
      <w:spacing w:line="240" w:lineRule="auto"/>
    </w:pPr>
  </w:style>
  <w:style w:type="character" w:customStyle="1" w:styleId="TekstopmerkingChar">
    <w:name w:val="Tekst opmerking Char"/>
    <w:basedOn w:val="Standaardalinea-lettertype"/>
    <w:link w:val="Tekstopmerking"/>
    <w:uiPriority w:val="99"/>
    <w:rsid w:val="00FA577D"/>
    <w:rPr>
      <w:rFonts w:ascii="Trebuchet MS" w:hAnsi="Trebuchet MS"/>
    </w:rPr>
  </w:style>
  <w:style w:type="paragraph" w:styleId="Onderwerpvanopmerking">
    <w:name w:val="annotation subject"/>
    <w:basedOn w:val="Tekstopmerking"/>
    <w:next w:val="Tekstopmerking"/>
    <w:link w:val="OnderwerpvanopmerkingChar"/>
    <w:uiPriority w:val="99"/>
    <w:semiHidden/>
    <w:unhideWhenUsed/>
    <w:rsid w:val="00FA577D"/>
    <w:rPr>
      <w:b/>
      <w:bCs/>
    </w:rPr>
  </w:style>
  <w:style w:type="character" w:customStyle="1" w:styleId="OnderwerpvanopmerkingChar">
    <w:name w:val="Onderwerp van opmerking Char"/>
    <w:basedOn w:val="TekstopmerkingChar"/>
    <w:link w:val="Onderwerpvanopmerking"/>
    <w:uiPriority w:val="99"/>
    <w:semiHidden/>
    <w:rsid w:val="00FA577D"/>
    <w:rPr>
      <w:rFonts w:ascii="Trebuchet MS" w:hAnsi="Trebuchet MS"/>
      <w:b/>
      <w:bCs/>
    </w:rPr>
  </w:style>
  <w:style w:type="paragraph" w:styleId="Normaalweb">
    <w:name w:val="Normal (Web)"/>
    <w:basedOn w:val="Standaard"/>
    <w:uiPriority w:val="99"/>
    <w:semiHidden/>
    <w:unhideWhenUsed/>
    <w:rsid w:val="0020010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36122">
      <w:bodyDiv w:val="1"/>
      <w:marLeft w:val="0"/>
      <w:marRight w:val="0"/>
      <w:marTop w:val="0"/>
      <w:marBottom w:val="0"/>
      <w:divBdr>
        <w:top w:val="none" w:sz="0" w:space="0" w:color="auto"/>
        <w:left w:val="none" w:sz="0" w:space="0" w:color="auto"/>
        <w:bottom w:val="none" w:sz="0" w:space="0" w:color="auto"/>
        <w:right w:val="none" w:sz="0" w:space="0" w:color="auto"/>
      </w:divBdr>
    </w:div>
    <w:div w:id="296647579">
      <w:bodyDiv w:val="1"/>
      <w:marLeft w:val="0"/>
      <w:marRight w:val="0"/>
      <w:marTop w:val="0"/>
      <w:marBottom w:val="0"/>
      <w:divBdr>
        <w:top w:val="none" w:sz="0" w:space="0" w:color="auto"/>
        <w:left w:val="none" w:sz="0" w:space="0" w:color="auto"/>
        <w:bottom w:val="none" w:sz="0" w:space="0" w:color="auto"/>
        <w:right w:val="none" w:sz="0" w:space="0" w:color="auto"/>
      </w:divBdr>
    </w:div>
    <w:div w:id="451290572">
      <w:bodyDiv w:val="1"/>
      <w:marLeft w:val="0"/>
      <w:marRight w:val="0"/>
      <w:marTop w:val="0"/>
      <w:marBottom w:val="0"/>
      <w:divBdr>
        <w:top w:val="none" w:sz="0" w:space="0" w:color="auto"/>
        <w:left w:val="none" w:sz="0" w:space="0" w:color="auto"/>
        <w:bottom w:val="none" w:sz="0" w:space="0" w:color="auto"/>
        <w:right w:val="none" w:sz="0" w:space="0" w:color="auto"/>
      </w:divBdr>
    </w:div>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 w:id="1727024676">
      <w:bodyDiv w:val="1"/>
      <w:marLeft w:val="0"/>
      <w:marRight w:val="0"/>
      <w:marTop w:val="0"/>
      <w:marBottom w:val="0"/>
      <w:divBdr>
        <w:top w:val="none" w:sz="0" w:space="0" w:color="auto"/>
        <w:left w:val="none" w:sz="0" w:space="0" w:color="auto"/>
        <w:bottom w:val="none" w:sz="0" w:space="0" w:color="auto"/>
        <w:right w:val="none" w:sz="0" w:space="0" w:color="auto"/>
      </w:divBdr>
    </w:div>
    <w:div w:id="1944146928">
      <w:bodyDiv w:val="1"/>
      <w:marLeft w:val="0"/>
      <w:marRight w:val="0"/>
      <w:marTop w:val="0"/>
      <w:marBottom w:val="0"/>
      <w:divBdr>
        <w:top w:val="none" w:sz="0" w:space="0" w:color="auto"/>
        <w:left w:val="none" w:sz="0" w:space="0" w:color="auto"/>
        <w:bottom w:val="none" w:sz="0" w:space="0" w:color="auto"/>
        <w:right w:val="none" w:sz="0" w:space="0" w:color="auto"/>
      </w:divBdr>
    </w:div>
    <w:div w:id="19462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2.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Rodenburg, T.C. (Tamara)</dc:creator>
  <cp:keywords/>
  <dc:description/>
  <cp:lastModifiedBy>Rodenburg, T.C. (Tamara)</cp:lastModifiedBy>
  <cp:revision>3</cp:revision>
  <dcterms:created xsi:type="dcterms:W3CDTF">2026-02-12T10:08:00Z</dcterms:created>
  <dcterms:modified xsi:type="dcterms:W3CDTF">2026-02-16T08:55:00Z</dcterms:modified>
</cp:coreProperties>
</file>