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4BCE" w14:textId="51409450" w:rsidR="00421672" w:rsidRDefault="00002568">
      <w:pPr>
        <w:rPr>
          <w:lang w:val="sr-Latn-RS"/>
        </w:rPr>
      </w:pPr>
      <w:r>
        <w:rPr>
          <w:lang w:val="sr-Latn-RS"/>
        </w:rPr>
        <w:t xml:space="preserve">Indication </w:t>
      </w:r>
      <w:r w:rsidR="001D065D">
        <w:rPr>
          <w:lang w:val="sr-Latn-RS"/>
        </w:rPr>
        <w:t xml:space="preserve"> for </w:t>
      </w:r>
      <w:r>
        <w:rPr>
          <w:lang w:val="sr-Latn-RS"/>
        </w:rPr>
        <w:t>stenting pulmonary arteries in patients with chronic thromboembolic pulmonary hypertension with coronary stents</w:t>
      </w:r>
      <w:r w:rsidR="001D065D">
        <w:rPr>
          <w:lang w:val="sr-Latn-RS"/>
        </w:rPr>
        <w:t xml:space="preserve"> and long-term perfusion</w:t>
      </w:r>
      <w:r w:rsidR="00A42925">
        <w:rPr>
          <w:lang w:val="sr-Latn-RS"/>
        </w:rPr>
        <w:t xml:space="preserve"> follow-up</w:t>
      </w:r>
    </w:p>
    <w:p w14:paraId="4A7EB07E" w14:textId="2BE771DB" w:rsidR="00287ED7" w:rsidRPr="00A42925" w:rsidRDefault="00287ED7">
      <w:pPr>
        <w:rPr>
          <w:vertAlign w:val="superscript"/>
          <w:lang w:val="sr-Latn-RS"/>
        </w:rPr>
      </w:pPr>
      <w:r>
        <w:rPr>
          <w:lang w:val="sr-Latn-RS"/>
        </w:rPr>
        <w:t>Obradovic S</w:t>
      </w:r>
      <w:r w:rsidR="00A42925">
        <w:rPr>
          <w:vertAlign w:val="superscript"/>
          <w:lang w:val="sr-Latn-RS"/>
        </w:rPr>
        <w:t>1</w:t>
      </w:r>
      <w:r>
        <w:rPr>
          <w:lang w:val="sr-Latn-RS"/>
        </w:rPr>
        <w:t>, Dzudovic B</w:t>
      </w:r>
      <w:r w:rsidR="00A42925">
        <w:rPr>
          <w:vertAlign w:val="superscript"/>
          <w:lang w:val="sr-Latn-RS"/>
        </w:rPr>
        <w:t>1</w:t>
      </w:r>
      <w:r>
        <w:rPr>
          <w:lang w:val="sr-Latn-RS"/>
        </w:rPr>
        <w:t>, Matijasevic J</w:t>
      </w:r>
      <w:r w:rsidR="00A42925">
        <w:rPr>
          <w:vertAlign w:val="superscript"/>
          <w:lang w:val="sr-Latn-RS"/>
        </w:rPr>
        <w:t>2</w:t>
      </w:r>
      <w:r>
        <w:rPr>
          <w:lang w:val="sr-Latn-RS"/>
        </w:rPr>
        <w:t>, Kafedzic S</w:t>
      </w:r>
      <w:r w:rsidR="00A42925">
        <w:rPr>
          <w:vertAlign w:val="superscript"/>
          <w:lang w:val="sr-Latn-RS"/>
        </w:rPr>
        <w:t>3</w:t>
      </w:r>
      <w:r>
        <w:rPr>
          <w:lang w:val="sr-Latn-RS"/>
        </w:rPr>
        <w:t>, Ristic A</w:t>
      </w:r>
      <w:r w:rsidR="00A42925">
        <w:rPr>
          <w:vertAlign w:val="superscript"/>
          <w:lang w:val="sr-Latn-RS"/>
        </w:rPr>
        <w:t>4</w:t>
      </w:r>
      <w:r>
        <w:rPr>
          <w:lang w:val="sr-Latn-RS"/>
        </w:rPr>
        <w:t>, Lozo M</w:t>
      </w:r>
      <w:r w:rsidR="00A42925">
        <w:rPr>
          <w:vertAlign w:val="superscript"/>
          <w:lang w:val="sr-Latn-RS"/>
        </w:rPr>
        <w:t>5</w:t>
      </w:r>
      <w:r>
        <w:rPr>
          <w:lang w:val="sr-Latn-RS"/>
        </w:rPr>
        <w:t>, Zivanovic Z</w:t>
      </w:r>
      <w:r w:rsidR="00A42925">
        <w:rPr>
          <w:vertAlign w:val="superscript"/>
          <w:lang w:val="sr-Latn-RS"/>
        </w:rPr>
        <w:t>6</w:t>
      </w:r>
      <w:r>
        <w:rPr>
          <w:lang w:val="sr-Latn-RS"/>
        </w:rPr>
        <w:t>, Dragnic S</w:t>
      </w:r>
      <w:r w:rsidR="00A42925">
        <w:rPr>
          <w:vertAlign w:val="superscript"/>
          <w:lang w:val="sr-Latn-RS"/>
        </w:rPr>
        <w:t>7</w:t>
      </w:r>
      <w:r>
        <w:rPr>
          <w:lang w:val="sr-Latn-RS"/>
        </w:rPr>
        <w:t>, Begic A</w:t>
      </w:r>
      <w:r w:rsidR="00A42925">
        <w:rPr>
          <w:vertAlign w:val="superscript"/>
          <w:lang w:val="sr-Latn-RS"/>
        </w:rPr>
        <w:t>8</w:t>
      </w:r>
      <w:r>
        <w:rPr>
          <w:lang w:val="sr-Latn-RS"/>
        </w:rPr>
        <w:t>, Begic E</w:t>
      </w:r>
      <w:r w:rsidR="00A42925">
        <w:rPr>
          <w:vertAlign w:val="superscript"/>
          <w:lang w:val="sr-Latn-RS"/>
        </w:rPr>
        <w:t>9</w:t>
      </w:r>
    </w:p>
    <w:p w14:paraId="55F42FCE" w14:textId="5F6637FA" w:rsidR="0095137C" w:rsidRDefault="0095137C">
      <w:pPr>
        <w:rPr>
          <w:lang w:val="sr-Latn-RS"/>
        </w:rPr>
      </w:pPr>
      <w:r>
        <w:rPr>
          <w:lang w:val="sr-Latn-RS"/>
        </w:rPr>
        <w:t>Clinic of Cardiology, Military Medical Academy, Belgrade, Serbia</w:t>
      </w:r>
    </w:p>
    <w:p w14:paraId="6F7E5998" w14:textId="63001B45" w:rsidR="0095137C" w:rsidRDefault="0095137C">
      <w:pPr>
        <w:rPr>
          <w:lang w:val="sr-Latn-RS"/>
        </w:rPr>
      </w:pPr>
      <w:r>
        <w:rPr>
          <w:lang w:val="sr-Latn-RS"/>
        </w:rPr>
        <w:t>Institute for Pulmonary Diseases Vojvodine, Serbia</w:t>
      </w:r>
    </w:p>
    <w:p w14:paraId="16230288" w14:textId="22D02292" w:rsidR="0095137C" w:rsidRDefault="0095137C">
      <w:pPr>
        <w:rPr>
          <w:lang w:val="sr-Latn-RS"/>
        </w:rPr>
      </w:pPr>
      <w:r>
        <w:rPr>
          <w:lang w:val="sr-Latn-RS"/>
        </w:rPr>
        <w:t>Clinic of Cardiology, University Clinical Center Zemun, Belgrade, Serbia</w:t>
      </w:r>
    </w:p>
    <w:p w14:paraId="25CAF449" w14:textId="608A5CE5" w:rsidR="0095137C" w:rsidRDefault="00632D48">
      <w:pPr>
        <w:rPr>
          <w:lang w:val="sr-Latn-RS"/>
        </w:rPr>
      </w:pPr>
      <w:r>
        <w:rPr>
          <w:lang w:val="sr-Latn-RS"/>
        </w:rPr>
        <w:t xml:space="preserve">Clinic of Cardiology, University </w:t>
      </w:r>
      <w:r w:rsidR="0095137C">
        <w:rPr>
          <w:lang w:val="sr-Latn-RS"/>
        </w:rPr>
        <w:t>Clinical Center Belgrade, Serbia</w:t>
      </w:r>
    </w:p>
    <w:p w14:paraId="4215663B" w14:textId="1C76CC50" w:rsidR="0095137C" w:rsidRDefault="0095137C">
      <w:pPr>
        <w:rPr>
          <w:lang w:val="sr-Latn-RS"/>
        </w:rPr>
      </w:pPr>
      <w:r>
        <w:rPr>
          <w:lang w:val="sr-Latn-RS"/>
        </w:rPr>
        <w:t>Clinic of Cardiology University Hospital Split, Croatia</w:t>
      </w:r>
    </w:p>
    <w:p w14:paraId="1488CF04" w14:textId="18AF50A8" w:rsidR="0095137C" w:rsidRDefault="0095137C">
      <w:pPr>
        <w:rPr>
          <w:lang w:val="sr-Latn-RS"/>
        </w:rPr>
      </w:pPr>
      <w:r>
        <w:rPr>
          <w:lang w:val="sr-Latn-RS"/>
        </w:rPr>
        <w:t>Clinical Center Banja Luka, Srpska Republic, Bosnia and Herzegovina</w:t>
      </w:r>
    </w:p>
    <w:p w14:paraId="18B5F142" w14:textId="371AB467" w:rsidR="0095137C" w:rsidRDefault="0095137C">
      <w:pPr>
        <w:rPr>
          <w:lang w:val="sr-Latn-RS"/>
        </w:rPr>
      </w:pPr>
      <w:r>
        <w:rPr>
          <w:lang w:val="sr-Latn-RS"/>
        </w:rPr>
        <w:t>Clinic of Cardiology, University Clinical Center Podgorica, Montenegro</w:t>
      </w:r>
    </w:p>
    <w:p w14:paraId="1687ACE3" w14:textId="1348762E" w:rsidR="00632D48" w:rsidRDefault="00632D48">
      <w:pPr>
        <w:rPr>
          <w:lang w:val="sr-Latn-RS"/>
        </w:rPr>
      </w:pPr>
      <w:r>
        <w:rPr>
          <w:lang w:val="sr-Latn-RS"/>
        </w:rPr>
        <w:t>Clinic of Cardiology, University Clinical Center Sarajevo, Bosnia and Herzegovina</w:t>
      </w:r>
    </w:p>
    <w:p w14:paraId="5DEA84DF" w14:textId="77777777" w:rsidR="00632D48" w:rsidRDefault="00632D48">
      <w:pPr>
        <w:rPr>
          <w:lang w:val="sr-Latn-RS"/>
        </w:rPr>
      </w:pPr>
    </w:p>
    <w:p w14:paraId="0E67403A" w14:textId="77777777" w:rsidR="00A42925" w:rsidRPr="00A42925" w:rsidRDefault="00A42925" w:rsidP="00A42925">
      <w:pPr>
        <w:spacing w:line="256" w:lineRule="auto"/>
        <w:jc w:val="both"/>
        <w:rPr>
          <w:rFonts w:ascii="Calibri" w:eastAsia="Times New Roman" w:hAnsi="Calibri" w:cs="Calibri"/>
        </w:rPr>
      </w:pPr>
      <w:r w:rsidRPr="00A42925">
        <w:rPr>
          <w:rFonts w:ascii="Calibri" w:eastAsia="Times New Roman" w:hAnsi="Calibri" w:cs="Calibri"/>
          <w:lang w:val="sr-Latn-RS"/>
        </w:rPr>
        <w:t xml:space="preserve">Background. Although balloon pulmonary angioplasty has become the standard therapy for distal chronic thromboembolic pulmonary hypertension (CTEPH), the possibility that stents could improve the results of this procedure was not investigated. </w:t>
      </w:r>
    </w:p>
    <w:p w14:paraId="2A17A632" w14:textId="27494A1E" w:rsidR="00A42925" w:rsidRPr="00A42925" w:rsidRDefault="00A42925" w:rsidP="00A42925">
      <w:pPr>
        <w:spacing w:line="256" w:lineRule="auto"/>
        <w:jc w:val="both"/>
        <w:rPr>
          <w:rFonts w:ascii="Calibri" w:eastAsia="Times New Roman" w:hAnsi="Calibri" w:cs="Calibri"/>
        </w:rPr>
      </w:pPr>
      <w:r w:rsidRPr="00A42925">
        <w:rPr>
          <w:rFonts w:ascii="Calibri" w:eastAsia="Times New Roman" w:hAnsi="Calibri" w:cs="Calibri"/>
          <w:lang w:val="sr-Latn-RS"/>
        </w:rPr>
        <w:t xml:space="preserve">Patients and methods. From 2016 til March 2026, our </w:t>
      </w:r>
      <w:r w:rsidR="00D552A6">
        <w:rPr>
          <w:rFonts w:ascii="Calibri" w:eastAsia="Times New Roman" w:hAnsi="Calibri" w:cs="Calibri"/>
          <w:lang w:val="sr-Latn-RS"/>
        </w:rPr>
        <w:t xml:space="preserve">multicenter </w:t>
      </w:r>
      <w:r w:rsidRPr="00A42925">
        <w:rPr>
          <w:rFonts w:ascii="Calibri" w:eastAsia="Times New Roman" w:hAnsi="Calibri" w:cs="Calibri"/>
          <w:lang w:val="sr-Latn-RS"/>
        </w:rPr>
        <w:t>team</w:t>
      </w:r>
      <w:r w:rsidR="00D552A6">
        <w:rPr>
          <w:rFonts w:ascii="Calibri" w:eastAsia="Times New Roman" w:hAnsi="Calibri" w:cs="Calibri"/>
          <w:lang w:val="sr-Latn-RS"/>
        </w:rPr>
        <w:t xml:space="preserve"> (Registry from the Balkan western countres – Serbia, Bosnia and Herzegovina, Croatia and Montenegro)</w:t>
      </w:r>
      <w:r w:rsidRPr="00A42925">
        <w:rPr>
          <w:rFonts w:ascii="Calibri" w:eastAsia="Times New Roman" w:hAnsi="Calibri" w:cs="Calibri"/>
          <w:lang w:val="sr-Latn-RS"/>
        </w:rPr>
        <w:t xml:space="preserve"> performed 260 sessions of balloon pulmonary angioplasties (BPA) in 62 patients. In 22 patients, we implanted 32 coronary stents (1-3 per patient</w:t>
      </w:r>
      <w:r w:rsidRPr="00A42925">
        <w:rPr>
          <w:rFonts w:ascii="Calibri" w:eastAsia="Times New Roman" w:hAnsi="Calibri" w:cs="Calibri"/>
        </w:rPr>
        <w:t>) after several attempts of BPA, where we did not achieve good peripheral blush with significant residual obstruction either by organized, firm thrombus or possible dissection of an old thrombotic mass.</w:t>
      </w:r>
    </w:p>
    <w:p w14:paraId="684F9DAF" w14:textId="77777777" w:rsidR="00A42925" w:rsidRPr="00A42925" w:rsidRDefault="00A42925" w:rsidP="00A42925">
      <w:pPr>
        <w:spacing w:line="256" w:lineRule="auto"/>
        <w:jc w:val="both"/>
        <w:rPr>
          <w:rFonts w:ascii="Calibri" w:eastAsia="Times New Roman" w:hAnsi="Calibri" w:cs="Calibri"/>
        </w:rPr>
      </w:pPr>
      <w:r w:rsidRPr="00A42925">
        <w:rPr>
          <w:rFonts w:ascii="Calibri" w:eastAsia="Times New Roman" w:hAnsi="Calibri" w:cs="Calibri"/>
          <w:lang w:val="sr-Latn-RS"/>
        </w:rPr>
        <w:t xml:space="preserve">Results. After treating about 1100 lesions, we decided to implant stents in 32 of them, and the success of the procedure was 100% (success of coronary stent implantation into the culprit lesion) with an excellent flow after stenting, full blush of the irrigated pulmonary (sub)segments, and clear visible venous return. In 3/32 patients, transient lung perfusion injury was detected, successfully treated with high-flow oxygen, diuretics, and antibiotics for a few days. Periprocedural antithrombotic therapy was clopidogrel 300 mg or ticagrelor 180 mg, followed by clopidogrel plus oral anticoagulant drug (rivaroxaban 15 mg a day, or apixaban 5 mg BID) for 3-6 months. Since we treated patients with multiple sessions, we always check the patency of the stents in the following sessions (the stents were always patent with excellent distal flow), and we found a restenosis-like lesion (hard, high-grade re-stenotic lesion) only once and treated it successfully with BPA. In 20 patients, angiography follow-up was between 3-96 months (median time 22 months). In six patients, we performed SPECT-CT imaging, and the perfusion of the stented segments was excellent compared to many segments that were treated only with BPA. </w:t>
      </w:r>
    </w:p>
    <w:p w14:paraId="51613464" w14:textId="77777777" w:rsidR="00A42925" w:rsidRPr="00A42925" w:rsidRDefault="00A42925" w:rsidP="00A42925">
      <w:pPr>
        <w:spacing w:line="256" w:lineRule="auto"/>
        <w:jc w:val="both"/>
        <w:rPr>
          <w:rFonts w:ascii="Calibri" w:eastAsia="Times New Roman" w:hAnsi="Calibri" w:cs="Calibri"/>
        </w:rPr>
      </w:pPr>
      <w:r w:rsidRPr="00A42925">
        <w:rPr>
          <w:rFonts w:ascii="Calibri" w:eastAsia="Times New Roman" w:hAnsi="Calibri" w:cs="Calibri"/>
          <w:lang w:val="sr-Latn-RS"/>
        </w:rPr>
        <w:t xml:space="preserve">Conclusion. The implantation of coronary stents after suboptimal results of BPA in CTEPH patients is feasible and safe (reperfusion injury could be more often present). Coronary stents could achieve long-term full patency of the suboptimally BPA-treated pulmonary vessels without late complications. For the </w:t>
      </w:r>
      <w:r w:rsidRPr="00A42925">
        <w:rPr>
          <w:rFonts w:ascii="Calibri" w:eastAsia="Times New Roman" w:hAnsi="Calibri" w:cs="Calibri"/>
          <w:lang w:val="sr-Latn-RS"/>
        </w:rPr>
        <w:lastRenderedPageBreak/>
        <w:t>precise indications for stenting and possible use of dedicated stents in patients with CTEPH, further investigations are needed.   </w:t>
      </w:r>
    </w:p>
    <w:p w14:paraId="0143A026" w14:textId="307EE015" w:rsidR="002E1C5B" w:rsidRPr="00002568" w:rsidRDefault="002E1C5B" w:rsidP="00A42925">
      <w:pPr>
        <w:jc w:val="both"/>
        <w:rPr>
          <w:lang w:val="sr-Latn-RS"/>
        </w:rPr>
      </w:pPr>
    </w:p>
    <w:sectPr w:rsidR="002E1C5B" w:rsidRPr="0000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68"/>
    <w:rsid w:val="00002568"/>
    <w:rsid w:val="00141370"/>
    <w:rsid w:val="001D065D"/>
    <w:rsid w:val="00287ED7"/>
    <w:rsid w:val="002D14E7"/>
    <w:rsid w:val="002E1C5B"/>
    <w:rsid w:val="00421672"/>
    <w:rsid w:val="00632D48"/>
    <w:rsid w:val="006E6ABD"/>
    <w:rsid w:val="0095137C"/>
    <w:rsid w:val="00A42925"/>
    <w:rsid w:val="00CC62BC"/>
    <w:rsid w:val="00D552A6"/>
    <w:rsid w:val="00F6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84D8"/>
  <w15:chartTrackingRefBased/>
  <w15:docId w15:val="{34676EE6-CA76-409C-B77D-B842C3FD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7483">
      <w:bodyDiv w:val="1"/>
      <w:marLeft w:val="0"/>
      <w:marRight w:val="0"/>
      <w:marTop w:val="0"/>
      <w:marBottom w:val="0"/>
      <w:divBdr>
        <w:top w:val="none" w:sz="0" w:space="0" w:color="auto"/>
        <w:left w:val="none" w:sz="0" w:space="0" w:color="auto"/>
        <w:bottom w:val="none" w:sz="0" w:space="0" w:color="auto"/>
        <w:right w:val="none" w:sz="0" w:space="0" w:color="auto"/>
      </w:divBdr>
      <w:divsChild>
        <w:div w:id="183568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dcterms:created xsi:type="dcterms:W3CDTF">2026-03-14T13:08:00Z</dcterms:created>
  <dcterms:modified xsi:type="dcterms:W3CDTF">2026-03-16T06:50:00Z</dcterms:modified>
</cp:coreProperties>
</file>