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00A12" w14:textId="60667D0D" w:rsidR="005B25F8" w:rsidRPr="005B25F8" w:rsidRDefault="005B25F8" w:rsidP="005B25F8">
      <w:pPr>
        <w:spacing w:before="100" w:beforeAutospacing="1" w:after="100" w:afterAutospacing="1"/>
        <w:rPr>
          <w:rFonts w:eastAsia="Times New Roman"/>
          <w:kern w:val="0"/>
        </w:rPr>
      </w:pPr>
      <w:r w:rsidRPr="005B25F8">
        <w:rPr>
          <w:rFonts w:eastAsia="Times New Roman"/>
          <w:kern w:val="0"/>
        </w:rPr>
        <w:t>Predictors of Hemodynamic Response Following Pulmonary Thromboendarterectomy</w:t>
      </w:r>
    </w:p>
    <w:p w14:paraId="4B9F3472" w14:textId="77777777" w:rsidR="005B25F8" w:rsidRPr="005B25F8" w:rsidRDefault="005B25F8" w:rsidP="005B25F8">
      <w:pPr>
        <w:spacing w:before="100" w:beforeAutospacing="1" w:after="100" w:afterAutospacing="1"/>
        <w:rPr>
          <w:rFonts w:eastAsia="Times New Roman"/>
          <w:kern w:val="0"/>
        </w:rPr>
      </w:pPr>
      <w:r w:rsidRPr="005B25F8">
        <w:rPr>
          <w:rFonts w:eastAsia="Times New Roman"/>
          <w:b/>
          <w:bCs/>
          <w:kern w:val="0"/>
        </w:rPr>
        <w:t>Background:</w:t>
      </w:r>
      <w:r w:rsidRPr="005B25F8">
        <w:rPr>
          <w:rFonts w:eastAsia="Times New Roman"/>
          <w:kern w:val="0"/>
        </w:rPr>
        <w:br/>
        <w:t>Pulmonary thromboendarterectomy (PTE) is the definitive surgical treatment for chronic thromboembolic pulmonary hypertension (CTEPH) and results in substantial improvements in pulmonary hemodynamics. However, the degree of hemodynamic response varies among patients. This study sought to identify predictors of hemodynamic improvement following PTE.</w:t>
      </w:r>
    </w:p>
    <w:p w14:paraId="35ABE670" w14:textId="77777777" w:rsidR="005B25F8" w:rsidRPr="005B25F8" w:rsidRDefault="005B25F8" w:rsidP="005B25F8">
      <w:pPr>
        <w:spacing w:before="100" w:beforeAutospacing="1" w:after="100" w:afterAutospacing="1"/>
        <w:rPr>
          <w:rFonts w:eastAsia="Times New Roman"/>
          <w:kern w:val="0"/>
        </w:rPr>
      </w:pPr>
      <w:r w:rsidRPr="005B25F8">
        <w:rPr>
          <w:rFonts w:eastAsia="Times New Roman"/>
          <w:b/>
          <w:bCs/>
          <w:kern w:val="0"/>
        </w:rPr>
        <w:t>Methods:</w:t>
      </w:r>
      <w:r w:rsidRPr="005B25F8">
        <w:rPr>
          <w:rFonts w:eastAsia="Times New Roman"/>
          <w:kern w:val="0"/>
        </w:rPr>
        <w:br/>
        <w:t>A retrospective analysis was performed of a prospectively maintained institutional database of patients undergoing PTE for CTEPH between October 2017 and May 2025. Preoperative and postoperative pulmonary vascular resistance (PVR) were obtained from operative hemodynamic measurements. Hemodynamic response was defined as reduction in PVR following surgery. Continuous variables are reported as mean ± standard deviation. Associations between candidate predictors and PVR reduction were evaluated using Pearson correlation and linear regression analyses. A two-sided p value &lt;0.05 was considered statistically significant.</w:t>
      </w:r>
    </w:p>
    <w:p w14:paraId="1EB4152E" w14:textId="7E51F739" w:rsidR="005B25F8" w:rsidRPr="005B25F8" w:rsidRDefault="005B25F8" w:rsidP="005B25F8">
      <w:pPr>
        <w:spacing w:before="100" w:beforeAutospacing="1" w:after="100" w:afterAutospacing="1"/>
        <w:rPr>
          <w:rFonts w:eastAsia="Times New Roman"/>
          <w:kern w:val="0"/>
        </w:rPr>
      </w:pPr>
      <w:r w:rsidRPr="005B25F8">
        <w:rPr>
          <w:rFonts w:eastAsia="Times New Roman"/>
          <w:b/>
          <w:bCs/>
          <w:kern w:val="0"/>
        </w:rPr>
        <w:t>Results:</w:t>
      </w:r>
      <w:r w:rsidRPr="005B25F8">
        <w:rPr>
          <w:rFonts w:eastAsia="Times New Roman"/>
          <w:kern w:val="0"/>
        </w:rPr>
        <w:br/>
        <w:t>A total of 191 patients underwent pulmonary thromboendarterectomy during the study period. Complete hemodynamic data were available in 160 patients, who were included in the primary analysis. Mean preoperative PVR was 7.9 ± 3.9 Wood units and decreased to 3.7 ± 2.2 Wood units postoperatively, representing a mean reduction of 4.3 Wood units (48.4%). Lower body mass index was associated with greater reduction in pulmonary vascular resistance on regression analysis. Longer circulatory arrest time demonstrated a positive association with magnitude of PVR reduction (β = 0.028 Wood units per minute of arrest time), although this relationship did not reach statistical significance (p = 0.12). Longer circulatory arrest time was also associated with increased ICU length of stay (r = 0.30, p &lt; 0.001) and greater likelihood of postoperative ECMO utilization on univariable analysis. Thirty-day mortality was 1.6% (3/191)</w:t>
      </w:r>
      <w:r w:rsidR="00E575E3">
        <w:rPr>
          <w:rFonts w:eastAsia="Times New Roman"/>
          <w:kern w:val="0"/>
        </w:rPr>
        <w:t xml:space="preserve">. </w:t>
      </w:r>
    </w:p>
    <w:p w14:paraId="7D9D4BEA" w14:textId="77777777" w:rsidR="005B25F8" w:rsidRPr="005B25F8" w:rsidRDefault="005B25F8" w:rsidP="005B25F8">
      <w:pPr>
        <w:spacing w:before="100" w:beforeAutospacing="1" w:after="100" w:afterAutospacing="1"/>
        <w:rPr>
          <w:rFonts w:eastAsia="Times New Roman"/>
          <w:kern w:val="0"/>
        </w:rPr>
      </w:pPr>
      <w:r w:rsidRPr="005B25F8">
        <w:rPr>
          <w:rFonts w:eastAsia="Times New Roman"/>
          <w:b/>
          <w:bCs/>
          <w:kern w:val="0"/>
        </w:rPr>
        <w:t>Conclusions:</w:t>
      </w:r>
      <w:r w:rsidRPr="005B25F8">
        <w:rPr>
          <w:rFonts w:eastAsia="Times New Roman"/>
          <w:kern w:val="0"/>
        </w:rPr>
        <w:br/>
        <w:t>Pulmonary thromboendarterectomy results in substantial hemodynamic improvement in patients with CTEPH. Lower body mass index was associated with greater reduction in pulmonary vascular resistance, while greater operative extent of endarterectomy demonstrated a trend toward increased physiologic improvement but was associated with increased postoperative resource utilization. Despite the complexity of these procedures, operative outcomes remained excellent with very low mortality.</w:t>
      </w:r>
    </w:p>
    <w:p w14:paraId="2A590097" w14:textId="77777777" w:rsidR="00100222" w:rsidRDefault="00100222"/>
    <w:sectPr w:rsidR="00100222" w:rsidSect="007535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9FC"/>
    <w:rsid w:val="00000831"/>
    <w:rsid w:val="00023B93"/>
    <w:rsid w:val="00030D24"/>
    <w:rsid w:val="00032C9D"/>
    <w:rsid w:val="000350A4"/>
    <w:rsid w:val="00041616"/>
    <w:rsid w:val="00047CDC"/>
    <w:rsid w:val="0006545C"/>
    <w:rsid w:val="00072CC2"/>
    <w:rsid w:val="000972E7"/>
    <w:rsid w:val="000B54A1"/>
    <w:rsid w:val="000B7AFB"/>
    <w:rsid w:val="00100222"/>
    <w:rsid w:val="00100A3C"/>
    <w:rsid w:val="00103192"/>
    <w:rsid w:val="00106DBD"/>
    <w:rsid w:val="00121303"/>
    <w:rsid w:val="0012174A"/>
    <w:rsid w:val="0012377E"/>
    <w:rsid w:val="0015233C"/>
    <w:rsid w:val="00157B09"/>
    <w:rsid w:val="00174462"/>
    <w:rsid w:val="00180BA4"/>
    <w:rsid w:val="001C7C6E"/>
    <w:rsid w:val="001D0CE2"/>
    <w:rsid w:val="001D0D97"/>
    <w:rsid w:val="001F0112"/>
    <w:rsid w:val="0022519B"/>
    <w:rsid w:val="00261C17"/>
    <w:rsid w:val="00262827"/>
    <w:rsid w:val="00263296"/>
    <w:rsid w:val="00290458"/>
    <w:rsid w:val="002927D9"/>
    <w:rsid w:val="002A55DF"/>
    <w:rsid w:val="002B6A2B"/>
    <w:rsid w:val="002D566F"/>
    <w:rsid w:val="002F30FD"/>
    <w:rsid w:val="002F6C4D"/>
    <w:rsid w:val="00300B48"/>
    <w:rsid w:val="0031384E"/>
    <w:rsid w:val="00320599"/>
    <w:rsid w:val="0032088C"/>
    <w:rsid w:val="0036182D"/>
    <w:rsid w:val="00370609"/>
    <w:rsid w:val="0037707C"/>
    <w:rsid w:val="00394606"/>
    <w:rsid w:val="003A44CC"/>
    <w:rsid w:val="003B4BBD"/>
    <w:rsid w:val="003B66CB"/>
    <w:rsid w:val="003C14B1"/>
    <w:rsid w:val="00415E6B"/>
    <w:rsid w:val="004B0943"/>
    <w:rsid w:val="004D4CEA"/>
    <w:rsid w:val="004E5565"/>
    <w:rsid w:val="004F0A86"/>
    <w:rsid w:val="004F2703"/>
    <w:rsid w:val="00510FCE"/>
    <w:rsid w:val="005119AB"/>
    <w:rsid w:val="00520C67"/>
    <w:rsid w:val="005236E6"/>
    <w:rsid w:val="00530E28"/>
    <w:rsid w:val="00547701"/>
    <w:rsid w:val="005909FC"/>
    <w:rsid w:val="005926F8"/>
    <w:rsid w:val="005B25F8"/>
    <w:rsid w:val="005B4A33"/>
    <w:rsid w:val="005B4CF6"/>
    <w:rsid w:val="005C42E0"/>
    <w:rsid w:val="005C510C"/>
    <w:rsid w:val="005D7C05"/>
    <w:rsid w:val="005E204C"/>
    <w:rsid w:val="005E5A6B"/>
    <w:rsid w:val="00617BEF"/>
    <w:rsid w:val="00630134"/>
    <w:rsid w:val="00653F5F"/>
    <w:rsid w:val="00655F09"/>
    <w:rsid w:val="0066645B"/>
    <w:rsid w:val="006723C3"/>
    <w:rsid w:val="006746E5"/>
    <w:rsid w:val="00681322"/>
    <w:rsid w:val="006C7921"/>
    <w:rsid w:val="006E568E"/>
    <w:rsid w:val="006F6630"/>
    <w:rsid w:val="00705AE5"/>
    <w:rsid w:val="00713505"/>
    <w:rsid w:val="0074654E"/>
    <w:rsid w:val="007527CA"/>
    <w:rsid w:val="00753585"/>
    <w:rsid w:val="00766979"/>
    <w:rsid w:val="00782543"/>
    <w:rsid w:val="0079149F"/>
    <w:rsid w:val="007A1A51"/>
    <w:rsid w:val="007B770B"/>
    <w:rsid w:val="007B7A34"/>
    <w:rsid w:val="007E2665"/>
    <w:rsid w:val="007F1E52"/>
    <w:rsid w:val="007F5883"/>
    <w:rsid w:val="007F6A9E"/>
    <w:rsid w:val="007F7329"/>
    <w:rsid w:val="00802C6F"/>
    <w:rsid w:val="00823A70"/>
    <w:rsid w:val="00851277"/>
    <w:rsid w:val="00861122"/>
    <w:rsid w:val="008669F4"/>
    <w:rsid w:val="008675C7"/>
    <w:rsid w:val="00892BE0"/>
    <w:rsid w:val="0089555E"/>
    <w:rsid w:val="008B1BCC"/>
    <w:rsid w:val="008B22DD"/>
    <w:rsid w:val="008B26CC"/>
    <w:rsid w:val="008D031B"/>
    <w:rsid w:val="008E7FA6"/>
    <w:rsid w:val="00902EC3"/>
    <w:rsid w:val="00914B28"/>
    <w:rsid w:val="0091534B"/>
    <w:rsid w:val="009626FB"/>
    <w:rsid w:val="009659CD"/>
    <w:rsid w:val="00966B2F"/>
    <w:rsid w:val="00972C92"/>
    <w:rsid w:val="009751B6"/>
    <w:rsid w:val="009758AB"/>
    <w:rsid w:val="00980CD0"/>
    <w:rsid w:val="0099130D"/>
    <w:rsid w:val="00991B76"/>
    <w:rsid w:val="009D5666"/>
    <w:rsid w:val="00A05F21"/>
    <w:rsid w:val="00A12A77"/>
    <w:rsid w:val="00A243E9"/>
    <w:rsid w:val="00A30C2F"/>
    <w:rsid w:val="00A45C28"/>
    <w:rsid w:val="00A62AEB"/>
    <w:rsid w:val="00A63B5C"/>
    <w:rsid w:val="00A64977"/>
    <w:rsid w:val="00A90A0D"/>
    <w:rsid w:val="00A94E98"/>
    <w:rsid w:val="00AA25E1"/>
    <w:rsid w:val="00AA66C0"/>
    <w:rsid w:val="00AB053A"/>
    <w:rsid w:val="00AC5083"/>
    <w:rsid w:val="00AE2294"/>
    <w:rsid w:val="00AE434C"/>
    <w:rsid w:val="00B03472"/>
    <w:rsid w:val="00B2083E"/>
    <w:rsid w:val="00B25AB7"/>
    <w:rsid w:val="00B73A86"/>
    <w:rsid w:val="00B8305E"/>
    <w:rsid w:val="00B8611C"/>
    <w:rsid w:val="00BA484E"/>
    <w:rsid w:val="00BD2A2F"/>
    <w:rsid w:val="00BD2A70"/>
    <w:rsid w:val="00C02509"/>
    <w:rsid w:val="00C12D92"/>
    <w:rsid w:val="00C16D80"/>
    <w:rsid w:val="00C526B5"/>
    <w:rsid w:val="00C65692"/>
    <w:rsid w:val="00C7608D"/>
    <w:rsid w:val="00C76FD8"/>
    <w:rsid w:val="00C82FCE"/>
    <w:rsid w:val="00C9069A"/>
    <w:rsid w:val="00CA1C9B"/>
    <w:rsid w:val="00CB4EBD"/>
    <w:rsid w:val="00CC3EBD"/>
    <w:rsid w:val="00CD3A3A"/>
    <w:rsid w:val="00D11A66"/>
    <w:rsid w:val="00D214A0"/>
    <w:rsid w:val="00D2223E"/>
    <w:rsid w:val="00D24DD5"/>
    <w:rsid w:val="00D307DA"/>
    <w:rsid w:val="00D35124"/>
    <w:rsid w:val="00D37147"/>
    <w:rsid w:val="00D4253D"/>
    <w:rsid w:val="00D47E25"/>
    <w:rsid w:val="00D841B1"/>
    <w:rsid w:val="00D8666A"/>
    <w:rsid w:val="00D97266"/>
    <w:rsid w:val="00DA4005"/>
    <w:rsid w:val="00DB3D84"/>
    <w:rsid w:val="00DD6F83"/>
    <w:rsid w:val="00DE0587"/>
    <w:rsid w:val="00DE4417"/>
    <w:rsid w:val="00DE63A0"/>
    <w:rsid w:val="00DF78D9"/>
    <w:rsid w:val="00E069C2"/>
    <w:rsid w:val="00E575E3"/>
    <w:rsid w:val="00E74E43"/>
    <w:rsid w:val="00E80AEE"/>
    <w:rsid w:val="00E97089"/>
    <w:rsid w:val="00EB0A73"/>
    <w:rsid w:val="00EE165B"/>
    <w:rsid w:val="00EE1747"/>
    <w:rsid w:val="00F25C93"/>
    <w:rsid w:val="00F27182"/>
    <w:rsid w:val="00F32898"/>
    <w:rsid w:val="00F406A1"/>
    <w:rsid w:val="00F6134F"/>
    <w:rsid w:val="00F940A9"/>
    <w:rsid w:val="00FC6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BED606"/>
  <w15:chartTrackingRefBased/>
  <w15:docId w15:val="{BE1A31B8-87CC-0343-91BE-A6F2F8F83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09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09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09F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09F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909F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909F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909F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909F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909F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9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09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09F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09F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909F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909F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909F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909F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909F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909F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09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09F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09F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909F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909FC"/>
    <w:rPr>
      <w:i/>
      <w:iCs/>
      <w:color w:val="404040" w:themeColor="text1" w:themeTint="BF"/>
    </w:rPr>
  </w:style>
  <w:style w:type="paragraph" w:styleId="ListParagraph">
    <w:name w:val="List Paragraph"/>
    <w:basedOn w:val="Normal"/>
    <w:uiPriority w:val="34"/>
    <w:qFormat/>
    <w:rsid w:val="005909FC"/>
    <w:pPr>
      <w:ind w:left="720"/>
      <w:contextualSpacing/>
    </w:pPr>
  </w:style>
  <w:style w:type="character" w:styleId="IntenseEmphasis">
    <w:name w:val="Intense Emphasis"/>
    <w:basedOn w:val="DefaultParagraphFont"/>
    <w:uiPriority w:val="21"/>
    <w:qFormat/>
    <w:rsid w:val="005909FC"/>
    <w:rPr>
      <w:i/>
      <w:iCs/>
      <w:color w:val="0F4761" w:themeColor="accent1" w:themeShade="BF"/>
    </w:rPr>
  </w:style>
  <w:style w:type="paragraph" w:styleId="IntenseQuote">
    <w:name w:val="Intense Quote"/>
    <w:basedOn w:val="Normal"/>
    <w:next w:val="Normal"/>
    <w:link w:val="IntenseQuoteChar"/>
    <w:uiPriority w:val="30"/>
    <w:qFormat/>
    <w:rsid w:val="005909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09FC"/>
    <w:rPr>
      <w:i/>
      <w:iCs/>
      <w:color w:val="0F4761" w:themeColor="accent1" w:themeShade="BF"/>
    </w:rPr>
  </w:style>
  <w:style w:type="character" w:styleId="IntenseReference">
    <w:name w:val="Intense Reference"/>
    <w:basedOn w:val="DefaultParagraphFont"/>
    <w:uiPriority w:val="32"/>
    <w:qFormat/>
    <w:rsid w:val="005909FC"/>
    <w:rPr>
      <w:b/>
      <w:bCs/>
      <w:smallCaps/>
      <w:color w:val="0F4761" w:themeColor="accent1" w:themeShade="BF"/>
      <w:spacing w:val="5"/>
    </w:rPr>
  </w:style>
  <w:style w:type="paragraph" w:customStyle="1" w:styleId="isselectedend">
    <w:name w:val="isselectedend"/>
    <w:basedOn w:val="Normal"/>
    <w:rsid w:val="005909FC"/>
    <w:pPr>
      <w:spacing w:before="100" w:beforeAutospacing="1" w:after="100" w:afterAutospacing="1"/>
    </w:pPr>
    <w:rPr>
      <w:rFonts w:eastAsia="Times New Roman"/>
      <w:kern w:val="0"/>
      <w14:ligatures w14:val="none"/>
    </w:rPr>
  </w:style>
  <w:style w:type="character" w:styleId="Strong">
    <w:name w:val="Strong"/>
    <w:basedOn w:val="DefaultParagraphFont"/>
    <w:uiPriority w:val="22"/>
    <w:qFormat/>
    <w:rsid w:val="005909FC"/>
    <w:rPr>
      <w:b/>
      <w:bCs/>
    </w:rPr>
  </w:style>
  <w:style w:type="character" w:styleId="Emphasis">
    <w:name w:val="Emphasis"/>
    <w:basedOn w:val="DefaultParagraphFont"/>
    <w:uiPriority w:val="20"/>
    <w:qFormat/>
    <w:rsid w:val="005909FC"/>
    <w:rPr>
      <w:i/>
      <w:iCs/>
    </w:rPr>
  </w:style>
  <w:style w:type="paragraph" w:styleId="NormalWeb">
    <w:name w:val="Normal (Web)"/>
    <w:basedOn w:val="Normal"/>
    <w:uiPriority w:val="99"/>
    <w:semiHidden/>
    <w:unhideWhenUsed/>
    <w:rsid w:val="005909FC"/>
    <w:pPr>
      <w:spacing w:before="100" w:beforeAutospacing="1" w:after="100" w:afterAutospacing="1"/>
    </w:pPr>
    <w:rPr>
      <w:rFonts w:eastAsia="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830064">
      <w:bodyDiv w:val="1"/>
      <w:marLeft w:val="0"/>
      <w:marRight w:val="0"/>
      <w:marTop w:val="0"/>
      <w:marBottom w:val="0"/>
      <w:divBdr>
        <w:top w:val="none" w:sz="0" w:space="0" w:color="auto"/>
        <w:left w:val="none" w:sz="0" w:space="0" w:color="auto"/>
        <w:bottom w:val="none" w:sz="0" w:space="0" w:color="auto"/>
        <w:right w:val="none" w:sz="0" w:space="0" w:color="auto"/>
      </w:divBdr>
    </w:div>
    <w:div w:id="154968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373</Words>
  <Characters>2130</Characters>
  <Application>Microsoft Office Word</Application>
  <DocSecurity>0</DocSecurity>
  <Lines>17</Lines>
  <Paragraphs>4</Paragraphs>
  <ScaleCrop>false</ScaleCrop>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Whitlock, Richard</dc:creator>
  <cp:keywords/>
  <dc:description/>
  <cp:lastModifiedBy>Whitlock, Richard</cp:lastModifiedBy>
  <cp:revision>3</cp:revision>
  <dcterms:created xsi:type="dcterms:W3CDTF">2026-03-12T13:39:00Z</dcterms:created>
  <dcterms:modified xsi:type="dcterms:W3CDTF">2026-03-12T13:39:00Z</dcterms:modified>
</cp:coreProperties>
</file>