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8F333" w14:textId="77777777" w:rsidR="00996C2C" w:rsidRDefault="00996C2C" w:rsidP="00996C2C">
      <w:pPr>
        <w:spacing w:line="480" w:lineRule="auto"/>
        <w:rPr>
          <w:rFonts w:ascii="Times New Roman" w:eastAsia="ＭＳ Ｐゴシック" w:hAnsi="Times New Roman" w:cs="Times New Roman"/>
          <w:b/>
          <w:bCs/>
          <w:color w:val="000000"/>
          <w:kern w:val="0"/>
          <w:sz w:val="24"/>
          <w:shd w:val="clear" w:color="auto" w:fill="FFFFFF"/>
        </w:rPr>
      </w:pPr>
      <w:r w:rsidRPr="007C2937">
        <w:rPr>
          <w:rFonts w:ascii="Times New Roman" w:eastAsia="ＭＳ Ｐゴシック" w:hAnsi="Times New Roman" w:cs="Times New Roman"/>
          <w:b/>
          <w:bCs/>
          <w:color w:val="000000"/>
          <w:kern w:val="0"/>
          <w:sz w:val="24"/>
          <w:shd w:val="clear" w:color="auto" w:fill="FFFFFF"/>
        </w:rPr>
        <w:t>Determinants of Oxygenation Improvement After Balloon Pulmonary Angioplasty in Patients with Chronic Thromboembolic Pulmonary Hypertension and Coexisting Respiratory Dysfunction</w:t>
      </w:r>
    </w:p>
    <w:p w14:paraId="0DE570EE" w14:textId="4F844C93" w:rsidR="00996C2C" w:rsidRPr="00466E44" w:rsidRDefault="00996C2C" w:rsidP="00996C2C">
      <w:pPr>
        <w:spacing w:line="480" w:lineRule="auto"/>
        <w:rPr>
          <w:rFonts w:ascii="Times New Roman" w:hAnsi="Times New Roman" w:cs="Times New Roman"/>
          <w:sz w:val="24"/>
        </w:rPr>
      </w:pPr>
      <w:r w:rsidRPr="00466E44">
        <w:rPr>
          <w:rFonts w:ascii="Times New Roman" w:hAnsi="Times New Roman" w:cs="Times New Roman"/>
          <w:sz w:val="24"/>
        </w:rPr>
        <w:t>Yu Taniguchi</w:t>
      </w:r>
      <w:r w:rsidRPr="00466E44">
        <w:rPr>
          <w:rFonts w:ascii="Times New Roman" w:hAnsi="Times New Roman" w:cs="Times New Roman"/>
          <w:sz w:val="24"/>
          <w:vertAlign w:val="superscript"/>
        </w:rPr>
        <w:t>1)</w:t>
      </w:r>
      <w:r w:rsidRPr="00466E44">
        <w:rPr>
          <w:rFonts w:ascii="Times New Roman" w:hAnsi="Times New Roman" w:cs="Times New Roman"/>
          <w:sz w:val="24"/>
        </w:rPr>
        <w:t>, MD, PhD</w:t>
      </w:r>
      <w:r>
        <w:rPr>
          <w:rFonts w:ascii="Times New Roman" w:hAnsi="Times New Roman" w:cs="Times New Roman" w:hint="eastAsia"/>
          <w:sz w:val="24"/>
        </w:rPr>
        <w:t xml:space="preserve">, </w:t>
      </w:r>
      <w:r>
        <w:rPr>
          <w:rFonts w:ascii="Times New Roman" w:hAnsi="Times New Roman" w:cs="Times New Roman" w:hint="eastAsia"/>
          <w:sz w:val="24"/>
        </w:rPr>
        <w:t>Taka</w:t>
      </w:r>
      <w:r w:rsidRPr="00466E44">
        <w:rPr>
          <w:rFonts w:ascii="Times New Roman" w:hAnsi="Times New Roman" w:cs="Times New Roman"/>
          <w:sz w:val="24"/>
        </w:rPr>
        <w:t xml:space="preserve">yuki </w:t>
      </w:r>
      <w:r>
        <w:rPr>
          <w:rFonts w:ascii="Times New Roman" w:hAnsi="Times New Roman" w:cs="Times New Roman" w:hint="eastAsia"/>
          <w:sz w:val="24"/>
        </w:rPr>
        <w:t>Saito</w:t>
      </w:r>
      <w:r w:rsidRPr="00466E44">
        <w:rPr>
          <w:rFonts w:ascii="Times New Roman" w:hAnsi="Times New Roman" w:cs="Times New Roman"/>
          <w:sz w:val="24"/>
          <w:vertAlign w:val="superscript"/>
        </w:rPr>
        <w:t>1)</w:t>
      </w:r>
      <w:r w:rsidRPr="00466E44">
        <w:rPr>
          <w:rFonts w:ascii="Times New Roman" w:hAnsi="Times New Roman" w:cs="Times New Roman"/>
          <w:sz w:val="24"/>
        </w:rPr>
        <w:t xml:space="preserve">, MD, </w:t>
      </w:r>
      <w:r>
        <w:rPr>
          <w:rFonts w:ascii="Times New Roman" w:hAnsi="Times New Roman" w:cs="Times New Roman" w:hint="eastAsia"/>
          <w:sz w:val="24"/>
        </w:rPr>
        <w:t>Akane</w:t>
      </w:r>
      <w:r w:rsidRPr="00466E44">
        <w:rPr>
          <w:rFonts w:ascii="Times New Roman" w:hAnsi="Times New Roman" w:cs="Times New Roman"/>
          <w:sz w:val="24"/>
        </w:rPr>
        <w:t xml:space="preserve"> </w:t>
      </w:r>
      <w:r>
        <w:rPr>
          <w:rFonts w:ascii="Times New Roman" w:hAnsi="Times New Roman" w:cs="Times New Roman" w:hint="eastAsia"/>
          <w:sz w:val="24"/>
        </w:rPr>
        <w:t>Kajiura</w:t>
      </w:r>
      <w:r w:rsidRPr="00466E44">
        <w:rPr>
          <w:rFonts w:ascii="Times New Roman" w:hAnsi="Times New Roman" w:cs="Times New Roman"/>
          <w:sz w:val="24"/>
          <w:vertAlign w:val="superscript"/>
        </w:rPr>
        <w:t>1)</w:t>
      </w:r>
      <w:r w:rsidRPr="00466E44">
        <w:rPr>
          <w:rFonts w:ascii="Times New Roman" w:hAnsi="Times New Roman" w:cs="Times New Roman"/>
          <w:sz w:val="24"/>
        </w:rPr>
        <w:t xml:space="preserve">, MD, </w:t>
      </w:r>
      <w:r>
        <w:rPr>
          <w:rFonts w:ascii="Times New Roman" w:hAnsi="Times New Roman" w:cs="Times New Roman" w:hint="eastAsia"/>
          <w:sz w:val="24"/>
        </w:rPr>
        <w:t>Miki Sakamoto</w:t>
      </w:r>
      <w:r w:rsidRPr="00466E44">
        <w:rPr>
          <w:rFonts w:ascii="Times New Roman" w:hAnsi="Times New Roman" w:cs="Times New Roman"/>
          <w:sz w:val="24"/>
          <w:vertAlign w:val="superscript"/>
        </w:rPr>
        <w:t>1)</w:t>
      </w:r>
      <w:r w:rsidRPr="00466E44">
        <w:rPr>
          <w:rFonts w:ascii="Times New Roman" w:hAnsi="Times New Roman" w:cs="Times New Roman"/>
          <w:sz w:val="24"/>
        </w:rPr>
        <w:t>, MD, Noriaki Emoto</w:t>
      </w:r>
      <w:r w:rsidRPr="00466E44">
        <w:rPr>
          <w:rFonts w:ascii="Times New Roman" w:hAnsi="Times New Roman" w:cs="Times New Roman"/>
          <w:sz w:val="24"/>
          <w:vertAlign w:val="superscript"/>
        </w:rPr>
        <w:t>1)</w:t>
      </w:r>
      <w:r w:rsidRPr="00466E44">
        <w:rPr>
          <w:rFonts w:ascii="Times New Roman" w:hAnsi="Times New Roman" w:cs="Times New Roman"/>
          <w:sz w:val="24"/>
        </w:rPr>
        <w:t xml:space="preserve">, MD, PhD, </w:t>
      </w:r>
      <w:r>
        <w:rPr>
          <w:rFonts w:ascii="Times New Roman" w:hAnsi="Times New Roman" w:cs="Times New Roman" w:hint="eastAsia"/>
          <w:sz w:val="24"/>
        </w:rPr>
        <w:t>Hiromasa</w:t>
      </w:r>
      <w:r w:rsidRPr="00466E44">
        <w:rPr>
          <w:rFonts w:ascii="Times New Roman" w:hAnsi="Times New Roman" w:cs="Times New Roman"/>
          <w:sz w:val="24"/>
        </w:rPr>
        <w:t xml:space="preserve"> </w:t>
      </w:r>
      <w:r>
        <w:rPr>
          <w:rFonts w:ascii="Times New Roman" w:hAnsi="Times New Roman" w:cs="Times New Roman" w:hint="eastAsia"/>
          <w:sz w:val="24"/>
        </w:rPr>
        <w:t>Otake</w:t>
      </w:r>
      <w:r w:rsidRPr="00466E44">
        <w:rPr>
          <w:rFonts w:ascii="Times New Roman" w:hAnsi="Times New Roman" w:cs="Times New Roman"/>
          <w:sz w:val="24"/>
          <w:vertAlign w:val="superscript"/>
        </w:rPr>
        <w:t>1)</w:t>
      </w:r>
      <w:r w:rsidRPr="00466E44">
        <w:rPr>
          <w:rFonts w:ascii="Times New Roman" w:hAnsi="Times New Roman" w:cs="Times New Roman"/>
          <w:sz w:val="24"/>
        </w:rPr>
        <w:t xml:space="preserve">, MD, PhD </w:t>
      </w:r>
    </w:p>
    <w:p w14:paraId="362A2577" w14:textId="77777777" w:rsidR="00996C2C" w:rsidRPr="00466E44" w:rsidRDefault="00996C2C" w:rsidP="00996C2C">
      <w:pPr>
        <w:spacing w:line="480" w:lineRule="auto"/>
        <w:rPr>
          <w:rFonts w:ascii="Times New Roman" w:hAnsi="Times New Roman" w:cs="Times New Roman"/>
          <w:sz w:val="24"/>
        </w:rPr>
      </w:pPr>
    </w:p>
    <w:p w14:paraId="09EC1941" w14:textId="77777777" w:rsidR="00996C2C" w:rsidRPr="00466E44" w:rsidRDefault="00996C2C" w:rsidP="00996C2C">
      <w:pPr>
        <w:spacing w:line="480" w:lineRule="auto"/>
        <w:rPr>
          <w:rFonts w:ascii="Times New Roman" w:hAnsi="Times New Roman" w:cs="Times New Roman"/>
          <w:sz w:val="24"/>
        </w:rPr>
      </w:pPr>
      <w:r w:rsidRPr="00466E44">
        <w:rPr>
          <w:rFonts w:ascii="Times New Roman" w:hAnsi="Times New Roman" w:cs="Times New Roman"/>
          <w:sz w:val="24"/>
        </w:rPr>
        <w:t>1: Division of Cardiovascular Medicine, Department of Internal Medicine, Kobe University Graduate School of Medicine, Kobe, Japan</w:t>
      </w:r>
    </w:p>
    <w:p w14:paraId="4CF04DAD" w14:textId="77777777" w:rsidR="00C23AF8" w:rsidRDefault="00C23AF8"/>
    <w:p w14:paraId="2CA38ABF" w14:textId="77777777" w:rsidR="00996C2C" w:rsidRPr="00466E44" w:rsidRDefault="00996C2C" w:rsidP="00996C2C">
      <w:pPr>
        <w:spacing w:line="480" w:lineRule="auto"/>
        <w:rPr>
          <w:rFonts w:ascii="Times New Roman" w:hAnsi="Times New Roman" w:cs="Times New Roman"/>
          <w:sz w:val="24"/>
        </w:rPr>
      </w:pPr>
      <w:r w:rsidRPr="00466E44">
        <w:rPr>
          <w:rFonts w:ascii="Times New Roman" w:hAnsi="Times New Roman" w:cs="Times New Roman"/>
          <w:b/>
          <w:sz w:val="24"/>
        </w:rPr>
        <w:t>Keywords</w:t>
      </w:r>
      <w:r w:rsidRPr="00466E44">
        <w:rPr>
          <w:rFonts w:ascii="Times New Roman" w:hAnsi="Times New Roman" w:cs="Times New Roman"/>
          <w:sz w:val="24"/>
        </w:rPr>
        <w:t xml:space="preserve">: chronic thromboembolic pulmonary hypertension, </w:t>
      </w:r>
      <w:r>
        <w:rPr>
          <w:rFonts w:ascii="Times New Roman" w:hAnsi="Times New Roman" w:cs="Times New Roman" w:hint="eastAsia"/>
          <w:sz w:val="24"/>
        </w:rPr>
        <w:t>oxygenation</w:t>
      </w:r>
      <w:r w:rsidRPr="00466E44">
        <w:rPr>
          <w:rFonts w:ascii="Times New Roman" w:hAnsi="Times New Roman" w:cs="Times New Roman"/>
          <w:sz w:val="24"/>
        </w:rPr>
        <w:t xml:space="preserve">, </w:t>
      </w:r>
      <w:r>
        <w:rPr>
          <w:rFonts w:ascii="Times New Roman" w:hAnsi="Times New Roman" w:cs="Times New Roman" w:hint="eastAsia"/>
          <w:sz w:val="24"/>
        </w:rPr>
        <w:t xml:space="preserve">respiratory dysfunction, </w:t>
      </w:r>
      <w:r w:rsidRPr="00466E44">
        <w:rPr>
          <w:rFonts w:ascii="Times New Roman" w:hAnsi="Times New Roman" w:cs="Times New Roman"/>
          <w:sz w:val="24"/>
        </w:rPr>
        <w:t>balloon pulmonary angioplasty</w:t>
      </w:r>
    </w:p>
    <w:p w14:paraId="4A0E9629" w14:textId="77777777" w:rsidR="00996C2C" w:rsidRPr="00996C2C" w:rsidRDefault="00996C2C">
      <w:pPr>
        <w:rPr>
          <w:rFonts w:hint="eastAsia"/>
        </w:rPr>
      </w:pPr>
    </w:p>
    <w:p w14:paraId="73D5BD2D" w14:textId="0D10E1C9" w:rsidR="00996C2C" w:rsidRDefault="00996C2C">
      <w:pPr>
        <w:widowControl/>
      </w:pPr>
      <w:r>
        <w:br w:type="page"/>
      </w:r>
    </w:p>
    <w:p w14:paraId="6D34C16D" w14:textId="77777777" w:rsidR="00996C2C" w:rsidRPr="004A2E6F" w:rsidRDefault="00996C2C" w:rsidP="00996C2C">
      <w:pPr>
        <w:spacing w:line="480" w:lineRule="auto"/>
        <w:rPr>
          <w:rFonts w:ascii="Times New Roman" w:hAnsi="Times New Roman" w:cs="Times New Roman"/>
          <w:b/>
          <w:bCs/>
          <w:sz w:val="24"/>
        </w:rPr>
      </w:pPr>
      <w:r w:rsidRPr="004A2E6F">
        <w:rPr>
          <w:rFonts w:ascii="Times New Roman" w:hAnsi="Times New Roman" w:cs="Times New Roman"/>
          <w:b/>
          <w:bCs/>
          <w:sz w:val="24"/>
        </w:rPr>
        <w:lastRenderedPageBreak/>
        <w:t>A</w:t>
      </w:r>
      <w:r w:rsidRPr="004A2E6F">
        <w:rPr>
          <w:rFonts w:ascii="Times New Roman" w:hAnsi="Times New Roman" w:cs="Times New Roman" w:hint="eastAsia"/>
          <w:b/>
          <w:bCs/>
          <w:sz w:val="24"/>
        </w:rPr>
        <w:t>BSTRACT (247 words)</w:t>
      </w:r>
    </w:p>
    <w:p w14:paraId="1BED60F8" w14:textId="77777777" w:rsidR="00996C2C" w:rsidRPr="004A2E6F" w:rsidRDefault="00996C2C" w:rsidP="00996C2C">
      <w:pPr>
        <w:spacing w:line="480" w:lineRule="auto"/>
        <w:rPr>
          <w:rFonts w:ascii="Times New Roman" w:hAnsi="Times New Roman" w:cs="Times New Roman"/>
          <w:kern w:val="0"/>
          <w:sz w:val="24"/>
        </w:rPr>
      </w:pPr>
      <w:r w:rsidRPr="004A2E6F">
        <w:rPr>
          <w:rFonts w:ascii="Times New Roman" w:hAnsi="Times New Roman" w:cs="Times New Roman"/>
          <w:b/>
          <w:bCs/>
          <w:kern w:val="0"/>
          <w:sz w:val="24"/>
        </w:rPr>
        <w:t>Background:</w:t>
      </w:r>
      <w:r w:rsidRPr="004A2E6F">
        <w:rPr>
          <w:rFonts w:ascii="Times New Roman" w:hAnsi="Times New Roman" w:cs="Times New Roman"/>
          <w:kern w:val="0"/>
          <w:sz w:val="24"/>
        </w:rPr>
        <w:t xml:space="preserve"> Balloon pulmonary angioplasty (BPA) is an established therapy for patients with inoperable chronic thromboembolic pulmonary hypertension (CTEPH). However, its safety and efficacy in atypical CTEPH complicated by respiratory disorders remain uncertain because of concerns regarding potential deterioration in oxygenation. This study aimed to evaluate the effects of BPA on hemodynamics and oxygenation according to baseline respiratory dysfunction.</w:t>
      </w:r>
    </w:p>
    <w:p w14:paraId="7CADD2FF" w14:textId="77777777" w:rsidR="00996C2C" w:rsidRPr="004A2E6F" w:rsidRDefault="00996C2C" w:rsidP="00996C2C">
      <w:pPr>
        <w:spacing w:line="480" w:lineRule="auto"/>
        <w:rPr>
          <w:rFonts w:ascii="Times New Roman" w:hAnsi="Times New Roman" w:cs="Times New Roman"/>
          <w:kern w:val="0"/>
          <w:sz w:val="24"/>
        </w:rPr>
      </w:pPr>
      <w:r w:rsidRPr="004A2E6F">
        <w:rPr>
          <w:rFonts w:ascii="Times New Roman" w:hAnsi="Times New Roman" w:cs="Times New Roman"/>
          <w:b/>
          <w:bCs/>
          <w:kern w:val="0"/>
          <w:sz w:val="24"/>
        </w:rPr>
        <w:t>Methods:</w:t>
      </w:r>
      <w:r w:rsidRPr="004A2E6F">
        <w:rPr>
          <w:rFonts w:ascii="Times New Roman" w:hAnsi="Times New Roman" w:cs="Times New Roman"/>
          <w:kern w:val="0"/>
          <w:sz w:val="24"/>
        </w:rPr>
        <w:t xml:space="preserve"> We retrospectively analyzed 234 patients with CTEPH who underwent BPA between March 2011 and October 2025. Patients were categorized by spirometry at diagnosis into four groups: normal (n=122), restrictive (%VC &lt;80%; n=43), obstructive (FEV1/FVC &lt;70%; n=48), and combined impairment (n=21). Hemodynamic and respiratory parameters before and after BPA were compared among groups. Multivariable linear regression was performed to identify predictors of improvement in arterial oxygen partial pressure (PaO2).</w:t>
      </w:r>
    </w:p>
    <w:p w14:paraId="338476BA" w14:textId="77777777" w:rsidR="00996C2C" w:rsidRPr="004A2E6F" w:rsidRDefault="00996C2C" w:rsidP="00996C2C">
      <w:pPr>
        <w:spacing w:line="480" w:lineRule="auto"/>
        <w:rPr>
          <w:rFonts w:ascii="Times New Roman" w:hAnsi="Times New Roman" w:cs="Times New Roman"/>
          <w:kern w:val="0"/>
          <w:sz w:val="24"/>
        </w:rPr>
      </w:pPr>
      <w:r w:rsidRPr="004A2E6F">
        <w:rPr>
          <w:rFonts w:ascii="Times New Roman" w:hAnsi="Times New Roman" w:cs="Times New Roman"/>
          <w:b/>
          <w:bCs/>
          <w:kern w:val="0"/>
          <w:sz w:val="24"/>
        </w:rPr>
        <w:t>Results:</w:t>
      </w:r>
      <w:r w:rsidRPr="004A2E6F">
        <w:rPr>
          <w:rFonts w:ascii="Times New Roman" w:hAnsi="Times New Roman" w:cs="Times New Roman"/>
          <w:kern w:val="0"/>
          <w:sz w:val="24"/>
        </w:rPr>
        <w:t xml:space="preserve"> Hemodynamic improvement after BPA was comparable across groups, with similar reductions in pulmonary vascular resistance (−56.7±23.0%, −46.4±28.7%, −53.8±26.6%, and −46.7±30.6%, respectively; p=NS). Oxygenation also improved </w:t>
      </w:r>
      <w:r w:rsidRPr="004A2E6F">
        <w:rPr>
          <w:rFonts w:ascii="Times New Roman" w:hAnsi="Times New Roman" w:cs="Times New Roman"/>
          <w:kern w:val="0"/>
          <w:sz w:val="24"/>
        </w:rPr>
        <w:lastRenderedPageBreak/>
        <w:t>regardless of respiratory impairment, with increases in PaO2 of 11.5±13.1, 11.1±10.8, 12.9±11.9, and 7.5±13.1 mmHg, respectively (p=NS). In patients with restrictive physiology, higher baseline DLCO (p=0.011) and lower PaO2 (p&lt;0.01) were associated with greater PaO2 improvement. In those with obstructive physiology, higher DLCO (p&lt;0.01), lower PaO2 (p&lt;0.01), and higher alveolar–arterial oxygen gradient (p=0.046) were significant predictors.</w:t>
      </w:r>
    </w:p>
    <w:p w14:paraId="7BCB7B3C" w14:textId="77777777" w:rsidR="00996C2C" w:rsidRPr="004A2E6F" w:rsidRDefault="00996C2C" w:rsidP="00996C2C">
      <w:pPr>
        <w:spacing w:line="480" w:lineRule="auto"/>
        <w:rPr>
          <w:rFonts w:ascii="Times New Roman" w:hAnsi="Times New Roman" w:cs="Times New Roman"/>
          <w:kern w:val="0"/>
          <w:sz w:val="24"/>
        </w:rPr>
      </w:pPr>
      <w:r w:rsidRPr="004A2E6F">
        <w:rPr>
          <w:rFonts w:ascii="Times New Roman" w:hAnsi="Times New Roman" w:cs="Times New Roman"/>
          <w:b/>
          <w:bCs/>
          <w:kern w:val="0"/>
          <w:sz w:val="24"/>
        </w:rPr>
        <w:t>Conclusion:</w:t>
      </w:r>
      <w:r w:rsidRPr="004A2E6F">
        <w:rPr>
          <w:rFonts w:ascii="Times New Roman" w:hAnsi="Times New Roman" w:cs="Times New Roman"/>
          <w:kern w:val="0"/>
          <w:sz w:val="24"/>
        </w:rPr>
        <w:t xml:space="preserve"> BPA improved hemodynamics and oxygenation similarly in patients with CTEPH, irrespective of baseline respiratory dysfunction. Among patients with impaired lung mechanics, DLCO was strongly associated with oxygenation improvement following BPA, however the </w:t>
      </w:r>
      <w:proofErr w:type="spellStart"/>
      <w:r w:rsidRPr="004A2E6F">
        <w:rPr>
          <w:rFonts w:ascii="Times New Roman" w:hAnsi="Times New Roman" w:cs="Times New Roman"/>
          <w:kern w:val="0"/>
          <w:sz w:val="24"/>
        </w:rPr>
        <w:t>spirometric</w:t>
      </w:r>
      <w:proofErr w:type="spellEnd"/>
      <w:r w:rsidRPr="004A2E6F">
        <w:rPr>
          <w:rFonts w:ascii="Times New Roman" w:hAnsi="Times New Roman" w:cs="Times New Roman"/>
          <w:kern w:val="0"/>
          <w:sz w:val="24"/>
        </w:rPr>
        <w:t xml:space="preserve"> indices were not.</w:t>
      </w:r>
    </w:p>
    <w:p w14:paraId="5BB29616" w14:textId="45FA1A2F" w:rsidR="00996C2C" w:rsidRPr="00996C2C" w:rsidRDefault="00996C2C" w:rsidP="00996C2C">
      <w:pPr>
        <w:widowControl/>
        <w:rPr>
          <w:rFonts w:ascii="Times New Roman" w:hAnsi="Times New Roman" w:cs="Times New Roman" w:hint="eastAsia"/>
          <w:sz w:val="24"/>
        </w:rPr>
      </w:pPr>
    </w:p>
    <w:sectPr w:rsidR="00996C2C" w:rsidRPr="00996C2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2C"/>
    <w:rsid w:val="00996C2C"/>
    <w:rsid w:val="009D056E"/>
    <w:rsid w:val="00C23AF8"/>
    <w:rsid w:val="00C51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210FF5"/>
  <w15:chartTrackingRefBased/>
  <w15:docId w15:val="{8B2BBB30-29FA-4D04-BFC1-32EC36B9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C2C"/>
    <w:pPr>
      <w:widowControl w:val="0"/>
    </w:pPr>
  </w:style>
  <w:style w:type="paragraph" w:styleId="1">
    <w:name w:val="heading 1"/>
    <w:basedOn w:val="a"/>
    <w:next w:val="a"/>
    <w:link w:val="10"/>
    <w:uiPriority w:val="9"/>
    <w:qFormat/>
    <w:rsid w:val="00996C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6C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6C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96C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6C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6C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6C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6C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6C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6C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6C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6C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6C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6C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6C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6C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6C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6C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6C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6C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C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6C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C2C"/>
    <w:pPr>
      <w:spacing w:before="160"/>
      <w:jc w:val="center"/>
    </w:pPr>
    <w:rPr>
      <w:i/>
      <w:iCs/>
      <w:color w:val="404040" w:themeColor="text1" w:themeTint="BF"/>
    </w:rPr>
  </w:style>
  <w:style w:type="character" w:customStyle="1" w:styleId="a8">
    <w:name w:val="引用文 (文字)"/>
    <w:basedOn w:val="a0"/>
    <w:link w:val="a7"/>
    <w:uiPriority w:val="29"/>
    <w:rsid w:val="00996C2C"/>
    <w:rPr>
      <w:i/>
      <w:iCs/>
      <w:color w:val="404040" w:themeColor="text1" w:themeTint="BF"/>
    </w:rPr>
  </w:style>
  <w:style w:type="paragraph" w:styleId="a9">
    <w:name w:val="List Paragraph"/>
    <w:basedOn w:val="a"/>
    <w:uiPriority w:val="34"/>
    <w:qFormat/>
    <w:rsid w:val="00996C2C"/>
    <w:pPr>
      <w:ind w:left="720"/>
      <w:contextualSpacing/>
    </w:pPr>
  </w:style>
  <w:style w:type="character" w:styleId="21">
    <w:name w:val="Intense Emphasis"/>
    <w:basedOn w:val="a0"/>
    <w:uiPriority w:val="21"/>
    <w:qFormat/>
    <w:rsid w:val="00996C2C"/>
    <w:rPr>
      <w:i/>
      <w:iCs/>
      <w:color w:val="0F4761" w:themeColor="accent1" w:themeShade="BF"/>
    </w:rPr>
  </w:style>
  <w:style w:type="paragraph" w:styleId="22">
    <w:name w:val="Intense Quote"/>
    <w:basedOn w:val="a"/>
    <w:next w:val="a"/>
    <w:link w:val="23"/>
    <w:uiPriority w:val="30"/>
    <w:qFormat/>
    <w:rsid w:val="00996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6C2C"/>
    <w:rPr>
      <w:i/>
      <w:iCs/>
      <w:color w:val="0F4761" w:themeColor="accent1" w:themeShade="BF"/>
    </w:rPr>
  </w:style>
  <w:style w:type="character" w:styleId="24">
    <w:name w:val="Intense Reference"/>
    <w:basedOn w:val="a0"/>
    <w:uiPriority w:val="32"/>
    <w:qFormat/>
    <w:rsid w:val="00996C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335</Words>
  <Characters>2220</Characters>
  <Application>Microsoft Office Word</Application>
  <DocSecurity>0</DocSecurity>
  <Lines>43</Lines>
  <Paragraphs>13</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TANIGUCHI</dc:creator>
  <cp:keywords/>
  <dc:description/>
  <cp:lastModifiedBy>Yu TANIGUCHI</cp:lastModifiedBy>
  <cp:revision>1</cp:revision>
  <dcterms:created xsi:type="dcterms:W3CDTF">2026-03-12T09:48:00Z</dcterms:created>
  <dcterms:modified xsi:type="dcterms:W3CDTF">2026-03-12T09:51:00Z</dcterms:modified>
</cp:coreProperties>
</file>