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826" w:rsidRDefault="00000000">
      <w:r>
        <w:t>Background:</w:t>
      </w:r>
      <w:r>
        <w:br/>
        <w:t>Chronic thromboembolic pulmonary hypertension (CTEPH) is a severe condition characterized by persistent thromboembolic obstruction of the pulmonary vasculature</w:t>
      </w:r>
      <w:r w:rsidR="00E80266">
        <w:t>.</w:t>
      </w:r>
      <w:r>
        <w:t xml:space="preserve"> Lifelong anticoagulation is recommended in the management of CTEPH regardless of the treatment strategy. Nevertheless, data regarding the use of direct oral anticoagulants (DOACs) in this population remain limited. This study aimed to compare the safety and efficacy of DOACs and warfarin in patients with CTEPH undergoing BPA, focusing on bleeding complications and thromboembolic events.</w:t>
      </w:r>
    </w:p>
    <w:p w:rsidR="00A17826" w:rsidRDefault="00000000">
      <w:r>
        <w:t>Methods:</w:t>
      </w:r>
      <w:r>
        <w:br/>
        <w:t>This retrospective observational study included patients diagnosed with CTEPH who underwent BPA</w:t>
      </w:r>
      <w:r w:rsidR="00E80266">
        <w:t xml:space="preserve">. </w:t>
      </w:r>
      <w:r>
        <w:t>Demographic and clinical characteristics, as well as baseline hemodynamic and echocardiographic parameters at the time of diagnosis, were obtained from hospital records. The occurrence of venous thromboembolism (VTE), deep vein thrombosis (DVT), and major and minor bleeding events during anticoagulant therapy was assessed through medical records and structured telephone interviews with patients or their relatives.</w:t>
      </w:r>
    </w:p>
    <w:p w:rsidR="00E80266" w:rsidRDefault="00000000">
      <w:r>
        <w:t>Results:</w:t>
      </w:r>
      <w:r>
        <w:br/>
        <w:t xml:space="preserve">A total of 73 patients with CTEPH who underwent BPA were included in the study. Among them, 26 patients (35.6%) received warfarin, while 47 patients (64.4%) were treated with DOACs. In the DOAC group, 28 patients (59.6%) received rivaroxaban, 11 (23.4%) apixaban, and 8 (17.0%) edoxaban. The mean duration of CTEPH follow-up was 8.2 ± 2.3 years, and the mean follow-up after BPA was 3.1 ± 0.9 years. Minor bleeding occurred in 34.6% of patients in the warfarin group and in 17.0% of patients in the DOAC group (p = 0.089). Recurrent VTE was observed in 19.2% of patients receiving warfarin and 12.7% of those receiving DOACs (p = 0.460). The incidence of deep vein thrombosis was similar between the two groups (p = 0.955). </w:t>
      </w:r>
    </w:p>
    <w:p w:rsidR="00A17826" w:rsidRDefault="00000000">
      <w:r>
        <w:t>Conclusion:</w:t>
      </w:r>
      <w:r>
        <w:br/>
        <w:t>In patients with CTEPH undergoing BPA, treatment with DOACs demonstrated comparable efficacy to warfarin and was associated with lower rates of minor bleeding. These findings suggest that DOACs may represent a safe alternative to warfarin in this patient population. However, prospective randomized controlled studies are needed to confirm these results.</w:t>
      </w:r>
    </w:p>
    <w:p w:rsidR="00A17826" w:rsidRDefault="00A17826"/>
    <w:sectPr w:rsidR="00A178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77177735">
    <w:abstractNumId w:val="8"/>
  </w:num>
  <w:num w:numId="2" w16cid:durableId="1749036791">
    <w:abstractNumId w:val="6"/>
  </w:num>
  <w:num w:numId="3" w16cid:durableId="620915392">
    <w:abstractNumId w:val="5"/>
  </w:num>
  <w:num w:numId="4" w16cid:durableId="113839524">
    <w:abstractNumId w:val="4"/>
  </w:num>
  <w:num w:numId="5" w16cid:durableId="835219767">
    <w:abstractNumId w:val="7"/>
  </w:num>
  <w:num w:numId="6" w16cid:durableId="1808085767">
    <w:abstractNumId w:val="3"/>
  </w:num>
  <w:num w:numId="7" w16cid:durableId="168713033">
    <w:abstractNumId w:val="2"/>
  </w:num>
  <w:num w:numId="8" w16cid:durableId="1952932999">
    <w:abstractNumId w:val="1"/>
  </w:num>
  <w:num w:numId="9" w16cid:durableId="4819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14E0"/>
    <w:rsid w:val="008666D9"/>
    <w:rsid w:val="00A17826"/>
    <w:rsid w:val="00AA1D8D"/>
    <w:rsid w:val="00B47730"/>
    <w:rsid w:val="00B81E9A"/>
    <w:rsid w:val="00CB0664"/>
    <w:rsid w:val="00CC6982"/>
    <w:rsid w:val="00E802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86A9F"/>
  <w14:defaultImageDpi w14:val="300"/>
  <w15:docId w15:val="{64CD16FB-5D76-AE46-902F-A34AF884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326</Words>
  <Characters>1863</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Eymen Ataş</cp:lastModifiedBy>
  <cp:revision>3</cp:revision>
  <dcterms:created xsi:type="dcterms:W3CDTF">2026-03-15T06:54:00Z</dcterms:created>
  <dcterms:modified xsi:type="dcterms:W3CDTF">2026-03-15T07:29:00Z</dcterms:modified>
  <cp:category/>
</cp:coreProperties>
</file>