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BF19" w14:textId="28175AD8" w:rsidR="00EB47D9" w:rsidRPr="0025476F" w:rsidRDefault="00F62227">
      <w:pPr>
        <w:rPr>
          <w:b/>
          <w:sz w:val="32"/>
          <w:szCs w:val="32"/>
        </w:rPr>
      </w:pPr>
      <w:r>
        <w:rPr>
          <w:b/>
          <w:sz w:val="32"/>
          <w:szCs w:val="32"/>
        </w:rPr>
        <w:t>Differential Changes in Vascular Volume Between Acute PE and CTEPH</w:t>
      </w:r>
    </w:p>
    <w:p w14:paraId="5C96104D" w14:textId="4FB11162" w:rsidR="005D2840" w:rsidRDefault="005D2840">
      <w:r>
        <w:t>Farbod N. Rahaghi</w:t>
      </w:r>
      <w:r w:rsidR="00FB4E6D">
        <w:rPr>
          <w:vertAlign w:val="superscript"/>
        </w:rPr>
        <w:t>1</w:t>
      </w:r>
      <w:r>
        <w:t xml:space="preserve">, </w:t>
      </w:r>
      <w:r w:rsidR="0025476F">
        <w:t>Ruben Mylvaganam</w:t>
      </w:r>
      <w:proofErr w:type="gramStart"/>
      <w:r w:rsidR="00FB4E6D">
        <w:rPr>
          <w:vertAlign w:val="superscript"/>
        </w:rPr>
        <w:t>2</w:t>
      </w:r>
      <w:r w:rsidR="0025476F">
        <w:t xml:space="preserve"> ,</w:t>
      </w:r>
      <w:proofErr w:type="gramEnd"/>
      <w:r w:rsidR="0025476F">
        <w:t xml:space="preserve"> </w:t>
      </w:r>
      <w:r>
        <w:t>Pietro Nardelli</w:t>
      </w:r>
      <w:r w:rsidR="00FB4E6D">
        <w:rPr>
          <w:vertAlign w:val="superscript"/>
        </w:rPr>
        <w:t>3</w:t>
      </w:r>
      <w:r w:rsidR="0025476F">
        <w:t>,</w:t>
      </w:r>
      <w:r w:rsidR="007A6B09">
        <w:t xml:space="preserve"> </w:t>
      </w:r>
      <w:r w:rsidR="0025476F">
        <w:t>Ruben San Jose Estepar</w:t>
      </w:r>
      <w:proofErr w:type="gramStart"/>
      <w:r w:rsidR="00FB4E6D">
        <w:rPr>
          <w:vertAlign w:val="superscript"/>
        </w:rPr>
        <w:t>3</w:t>
      </w:r>
      <w:r w:rsidR="0025476F">
        <w:t>,</w:t>
      </w:r>
      <w:r>
        <w:t xml:space="preserve"> </w:t>
      </w:r>
      <w:r w:rsidR="0025476F">
        <w:t xml:space="preserve"> George</w:t>
      </w:r>
      <w:proofErr w:type="gramEnd"/>
      <w:r w:rsidR="0025476F">
        <w:t xml:space="preserve"> R Washko</w:t>
      </w:r>
      <w:r w:rsidR="007A6B09">
        <w:rPr>
          <w:vertAlign w:val="superscript"/>
        </w:rPr>
        <w:t>4</w:t>
      </w:r>
      <w:r w:rsidR="0025476F">
        <w:t xml:space="preserve">, </w:t>
      </w:r>
      <w:r w:rsidR="00D8660B">
        <w:t>Dan Schimmel</w:t>
      </w:r>
      <w:proofErr w:type="gramStart"/>
      <w:r w:rsidR="004E10CC">
        <w:rPr>
          <w:vertAlign w:val="superscript"/>
        </w:rPr>
        <w:t>5</w:t>
      </w:r>
      <w:r w:rsidR="00D8660B">
        <w:t>,C</w:t>
      </w:r>
      <w:r w:rsidR="00970026">
        <w:t>hris</w:t>
      </w:r>
      <w:proofErr w:type="gramEnd"/>
      <w:r w:rsidR="00970026">
        <w:t xml:space="preserve"> Malaisrie</w:t>
      </w:r>
      <w:r w:rsidR="004E10CC">
        <w:rPr>
          <w:vertAlign w:val="superscript"/>
        </w:rPr>
        <w:t>6</w:t>
      </w:r>
      <w:r w:rsidR="0025476F">
        <w:t>,</w:t>
      </w:r>
      <w:r w:rsidR="00970026">
        <w:t xml:space="preserve"> </w:t>
      </w:r>
      <w:r w:rsidR="00E2585A" w:rsidRPr="00E2585A">
        <w:t>Stephen Chiu</w:t>
      </w:r>
      <w:r w:rsidR="004E10CC">
        <w:rPr>
          <w:vertAlign w:val="superscript"/>
        </w:rPr>
        <w:t>6</w:t>
      </w:r>
      <w:r w:rsidR="00E2585A">
        <w:t>,</w:t>
      </w:r>
      <w:r w:rsidR="007A6B09" w:rsidRPr="007A6B09">
        <w:t xml:space="preserve"> </w:t>
      </w:r>
      <w:r w:rsidR="007A6B09">
        <w:t>Raul San Jose Estepar</w:t>
      </w:r>
      <w:proofErr w:type="gramStart"/>
      <w:r w:rsidR="007A6B09">
        <w:rPr>
          <w:vertAlign w:val="superscript"/>
        </w:rPr>
        <w:t>3</w:t>
      </w:r>
      <w:r w:rsidR="007A6B09">
        <w:t>,M</w:t>
      </w:r>
      <w:r w:rsidR="00E2585A">
        <w:t>ichael</w:t>
      </w:r>
      <w:proofErr w:type="gramEnd"/>
      <w:r w:rsidR="00E2585A">
        <w:t xml:space="preserve"> J</w:t>
      </w:r>
      <w:r w:rsidR="00D8660B">
        <w:t xml:space="preserve"> Cuttica</w:t>
      </w:r>
      <w:r w:rsidR="00D8660B">
        <w:rPr>
          <w:vertAlign w:val="superscript"/>
        </w:rPr>
        <w:t>2</w:t>
      </w:r>
      <w:r w:rsidR="00D8660B">
        <w:t>.</w:t>
      </w:r>
      <w:r>
        <w:t xml:space="preserve"> </w:t>
      </w:r>
    </w:p>
    <w:p w14:paraId="1F2B56D2" w14:textId="028326C2" w:rsidR="007A6B09" w:rsidRDefault="007A6B09" w:rsidP="007A6B09">
      <w:pPr>
        <w:pStyle w:val="ListParagraph"/>
        <w:numPr>
          <w:ilvl w:val="0"/>
          <w:numId w:val="1"/>
        </w:numPr>
      </w:pPr>
      <w:r>
        <w:t xml:space="preserve">Division of Pulmonary and Critical Care, UCLA David Geffen School of Medicine. </w:t>
      </w:r>
    </w:p>
    <w:p w14:paraId="5960D4DC" w14:textId="4F8025C9" w:rsidR="007A6B09" w:rsidRDefault="007A6B09" w:rsidP="007A6B09">
      <w:pPr>
        <w:pStyle w:val="ListParagraph"/>
        <w:numPr>
          <w:ilvl w:val="0"/>
          <w:numId w:val="1"/>
        </w:numPr>
      </w:pPr>
      <w:r>
        <w:t xml:space="preserve">Pulmonary and Critical Care, Northwestern </w:t>
      </w:r>
      <w:proofErr w:type="gramStart"/>
      <w:r>
        <w:t>University;</w:t>
      </w:r>
      <w:proofErr w:type="gramEnd"/>
      <w:r>
        <w:t xml:space="preserve"> </w:t>
      </w:r>
      <w:r w:rsidRPr="00E2585A">
        <w:t>Feinberg School of Medicine</w:t>
      </w:r>
    </w:p>
    <w:p w14:paraId="3D4A1453" w14:textId="0672DC11" w:rsidR="007A6B09" w:rsidRDefault="007A6B09" w:rsidP="007A6B09">
      <w:pPr>
        <w:pStyle w:val="ListParagraph"/>
        <w:numPr>
          <w:ilvl w:val="0"/>
          <w:numId w:val="1"/>
        </w:numPr>
      </w:pPr>
      <w:r>
        <w:t>Department of Radiology, Brigham and Women’s Hospital, Harvard Medical School</w:t>
      </w:r>
    </w:p>
    <w:p w14:paraId="03FC3B3C" w14:textId="5789B7E6" w:rsidR="00FB4E6D" w:rsidRDefault="00E80F6D" w:rsidP="00FB4E6D">
      <w:pPr>
        <w:pStyle w:val="ListParagraph"/>
        <w:numPr>
          <w:ilvl w:val="0"/>
          <w:numId w:val="1"/>
        </w:numPr>
      </w:pPr>
      <w:r>
        <w:t xml:space="preserve">Division of </w:t>
      </w:r>
      <w:r w:rsidR="00FB4E6D">
        <w:t>Pulmonary and Critical Care, Brigham and Women’s</w:t>
      </w:r>
      <w:r>
        <w:t xml:space="preserve"> Hospital, Harvard Medical Scho</w:t>
      </w:r>
      <w:r w:rsidR="00FB4E6D">
        <w:t>ol</w:t>
      </w:r>
    </w:p>
    <w:p w14:paraId="2D87C2BD" w14:textId="6B46AB90" w:rsidR="00FB4E6D" w:rsidRDefault="00E80F6D" w:rsidP="00E2585A">
      <w:pPr>
        <w:pStyle w:val="ListParagraph"/>
        <w:numPr>
          <w:ilvl w:val="0"/>
          <w:numId w:val="1"/>
        </w:numPr>
      </w:pPr>
      <w:r>
        <w:t xml:space="preserve">Division of </w:t>
      </w:r>
      <w:r w:rsidR="00FB4E6D">
        <w:t xml:space="preserve">Cardiovascular </w:t>
      </w:r>
      <w:proofErr w:type="gramStart"/>
      <w:r w:rsidR="00FB4E6D">
        <w:t xml:space="preserve">Medicine, </w:t>
      </w:r>
      <w:r w:rsidR="00032EAB">
        <w:t xml:space="preserve"> Northwestern</w:t>
      </w:r>
      <w:proofErr w:type="gramEnd"/>
      <w:r w:rsidR="00032EAB">
        <w:t xml:space="preserve"> University</w:t>
      </w:r>
      <w:r w:rsidR="00E2585A">
        <w:t>;</w:t>
      </w:r>
      <w:r w:rsidR="00032EAB">
        <w:t xml:space="preserve"> </w:t>
      </w:r>
      <w:r w:rsidR="00E2585A" w:rsidRPr="00E2585A">
        <w:t>Feinberg School of Medicine</w:t>
      </w:r>
    </w:p>
    <w:p w14:paraId="4C46950A" w14:textId="77777777" w:rsidR="00E80F6D" w:rsidRPr="00701F47" w:rsidRDefault="00701F47" w:rsidP="00701F47">
      <w:pPr>
        <w:pStyle w:val="ListParagraph"/>
        <w:numPr>
          <w:ilvl w:val="0"/>
          <w:numId w:val="1"/>
        </w:numPr>
        <w:spacing w:after="0" w:line="240" w:lineRule="auto"/>
        <w:rPr>
          <w:rFonts w:ascii="Times New Roman" w:eastAsia="Times New Roman" w:hAnsi="Times New Roman" w:cs="Times New Roman"/>
          <w:sz w:val="24"/>
          <w:szCs w:val="24"/>
        </w:rPr>
      </w:pPr>
      <w:r w:rsidRPr="00701F47">
        <w:rPr>
          <w:rFonts w:ascii="Calibri" w:eastAsia="Times New Roman" w:hAnsi="Calibri" w:cs="Times New Roman"/>
          <w:color w:val="000000"/>
          <w:sz w:val="24"/>
          <w:szCs w:val="24"/>
        </w:rPr>
        <w:t>Division of Cardiac Surgery, Department of Surgery</w:t>
      </w:r>
      <w:r>
        <w:rPr>
          <w:rFonts w:ascii="Calibri" w:eastAsia="Times New Roman" w:hAnsi="Calibri" w:cs="Times New Roman"/>
          <w:color w:val="000000"/>
          <w:sz w:val="24"/>
          <w:szCs w:val="24"/>
        </w:rPr>
        <w:t xml:space="preserve">, </w:t>
      </w:r>
      <w:r>
        <w:t>Northwestern University Medical Center</w:t>
      </w:r>
    </w:p>
    <w:p w14:paraId="5667248F" w14:textId="77777777" w:rsidR="007F0ADC" w:rsidRDefault="007F0ADC" w:rsidP="0025476F">
      <w:pPr>
        <w:jc w:val="both"/>
        <w:rPr>
          <w:b/>
        </w:rPr>
      </w:pPr>
    </w:p>
    <w:p w14:paraId="4AD08C4E" w14:textId="77777777" w:rsidR="005D2840" w:rsidRPr="00AA29AC" w:rsidRDefault="00970026" w:rsidP="0025476F">
      <w:pPr>
        <w:jc w:val="both"/>
        <w:rPr>
          <w:b/>
        </w:rPr>
      </w:pPr>
      <w:r w:rsidRPr="00AA29AC">
        <w:rPr>
          <w:b/>
        </w:rPr>
        <w:t>Introduction</w:t>
      </w:r>
    </w:p>
    <w:p w14:paraId="135BC90D" w14:textId="3C4A2393" w:rsidR="00F5739A" w:rsidRPr="00F5739A" w:rsidRDefault="00F5739A" w:rsidP="00F5739A">
      <w:pPr>
        <w:jc w:val="both"/>
      </w:pPr>
      <w:r w:rsidRPr="00F5739A">
        <w:t>C</w:t>
      </w:r>
      <w:r w:rsidR="008F5DB8">
        <w:t xml:space="preserve">omputed Tomography (CT) pulmonary </w:t>
      </w:r>
      <w:r w:rsidRPr="00F5739A">
        <w:t>angiography</w:t>
      </w:r>
      <w:r w:rsidR="008F5DB8">
        <w:t xml:space="preserve"> </w:t>
      </w:r>
      <w:r w:rsidRPr="00F5739A">
        <w:t>is</w:t>
      </w:r>
      <w:r w:rsidR="008F5DB8">
        <w:t xml:space="preserve"> an</w:t>
      </w:r>
      <w:r w:rsidR="008F5DB8" w:rsidRPr="008F5DB8">
        <w:t xml:space="preserve"> integral </w:t>
      </w:r>
      <w:r w:rsidR="008F5DB8">
        <w:t xml:space="preserve">part of </w:t>
      </w:r>
      <w:r w:rsidR="008F5DB8" w:rsidRPr="008F5DB8">
        <w:t>both the diagnos</w:t>
      </w:r>
      <w:r w:rsidR="008F5DB8">
        <w:t xml:space="preserve">is and treatment of patients with thromboembolic disease. </w:t>
      </w:r>
      <w:r w:rsidR="00707067">
        <w:t xml:space="preserve"> Changes in intraparenchymal vascular volume </w:t>
      </w:r>
      <w:r w:rsidR="008F5DB8">
        <w:t xml:space="preserve">which can be computed using automated quantitative methods </w:t>
      </w:r>
      <w:r w:rsidR="00707067">
        <w:t>has been previously described in</w:t>
      </w:r>
      <w:r w:rsidR="008E596D">
        <w:t xml:space="preserve"> both acute pulmonary embolus (PE) and Chronic thromboembolic pulmonary hypertension (CTEPH)</w:t>
      </w:r>
      <w:r w:rsidR="008F5DB8">
        <w:t>.  However</w:t>
      </w:r>
      <w:r w:rsidR="008E596D">
        <w:t>,</w:t>
      </w:r>
      <w:r w:rsidR="008F5DB8">
        <w:t xml:space="preserve"> larger systematic studies spanning the arterial and venous system comparing </w:t>
      </w:r>
      <w:r w:rsidR="008E596D">
        <w:t>PE and CTEPH are lacking</w:t>
      </w:r>
      <w:r w:rsidR="008F5DB8">
        <w:t xml:space="preserve">. </w:t>
      </w:r>
      <w:r w:rsidR="002945A3">
        <w:t xml:space="preserve">In this work we sought to examine the </w:t>
      </w:r>
      <w:r w:rsidR="008F5DB8">
        <w:t xml:space="preserve">differential findings of vascular volume </w:t>
      </w:r>
      <w:r w:rsidR="00F62227">
        <w:t xml:space="preserve">between those with acute PE and CTEPH. </w:t>
      </w:r>
    </w:p>
    <w:p w14:paraId="40AD7CDB" w14:textId="77777777" w:rsidR="000535D3" w:rsidRPr="00AA29AC" w:rsidRDefault="000535D3" w:rsidP="0025476F">
      <w:pPr>
        <w:jc w:val="both"/>
        <w:rPr>
          <w:b/>
        </w:rPr>
      </w:pPr>
      <w:r w:rsidRPr="00AA29AC">
        <w:rPr>
          <w:b/>
        </w:rPr>
        <w:t>Methods</w:t>
      </w:r>
    </w:p>
    <w:p w14:paraId="5A9BB838" w14:textId="08AAC6AD" w:rsidR="000535D3" w:rsidRDefault="00485B4D" w:rsidP="0025476F">
      <w:pPr>
        <w:jc w:val="both"/>
      </w:pPr>
      <w:r>
        <w:t>P</w:t>
      </w:r>
      <w:r w:rsidR="000A0BE8">
        <w:t>atients with CT imaging with adequate resolution were enrolled from consecutive patients undergoing PTE at Northwestern University Medical Center</w:t>
      </w:r>
      <w:r w:rsidR="0056262A">
        <w:t xml:space="preserve"> for the diagnosis of CTEPH.</w:t>
      </w:r>
      <w:r w:rsidR="000A1BA6">
        <w:t xml:space="preserve"> </w:t>
      </w:r>
      <w:r w:rsidR="008F5DB8">
        <w:t>From a larger cohort of patients with CT Pulmonary angiography patients with a positive diagnosis of PE were selected based on age, sex and BMI matching. Vascular reconstruction was performed using the Chest Imaging Platform</w:t>
      </w:r>
      <w:r w:rsidR="008E596D">
        <w:t xml:space="preserve">. </w:t>
      </w:r>
      <w:r w:rsidR="008F5DB8">
        <w:t xml:space="preserve">This included </w:t>
      </w:r>
      <w:proofErr w:type="gramStart"/>
      <w:r w:rsidR="008F5DB8">
        <w:t>sizing of</w:t>
      </w:r>
      <w:proofErr w:type="gramEnd"/>
      <w:r w:rsidR="008F5DB8">
        <w:t xml:space="preserve"> the vessels and separation of arteries and veins. </w:t>
      </w:r>
      <w:r w:rsidR="00B82B2A">
        <w:t>Vessel volumes were pooled based on cross-sectional area of the vessels</w:t>
      </w:r>
      <w:r w:rsidR="00F62227">
        <w:t xml:space="preserve"> (&lt;5mm2, BV5, </w:t>
      </w:r>
      <w:r w:rsidR="00103F17">
        <w:t>&lt;10mm</w:t>
      </w:r>
      <w:r w:rsidR="00103F17" w:rsidRPr="009E3F5D">
        <w:rPr>
          <w:vertAlign w:val="superscript"/>
        </w:rPr>
        <w:t>2</w:t>
      </w:r>
      <w:r w:rsidR="00103F17">
        <w:t xml:space="preserve">, BV10, </w:t>
      </w:r>
      <w:r w:rsidR="00F62227">
        <w:t>=&gt;5mm</w:t>
      </w:r>
      <w:r w:rsidR="00F62227" w:rsidRPr="009E3F5D">
        <w:rPr>
          <w:vertAlign w:val="superscript"/>
        </w:rPr>
        <w:t>2</w:t>
      </w:r>
      <w:r w:rsidR="00F62227">
        <w:t xml:space="preserve"> BVg5, total arterial or venous volume TBV) and normalized either by TBV or by lung volume.  Comparisons were made using the Wilcoxon Rank-Sum Test, </w:t>
      </w:r>
      <w:r w:rsidR="000A1BA6">
        <w:t>performed using R version 4.1</w:t>
      </w:r>
      <w:r w:rsidR="008E596D">
        <w:t>.</w:t>
      </w:r>
      <w:r>
        <w:t xml:space="preserve"> </w:t>
      </w:r>
    </w:p>
    <w:p w14:paraId="22F7344E" w14:textId="77777777" w:rsidR="0056262A" w:rsidRPr="00AA29AC" w:rsidRDefault="00485B4D" w:rsidP="0025476F">
      <w:pPr>
        <w:jc w:val="both"/>
        <w:rPr>
          <w:b/>
        </w:rPr>
      </w:pPr>
      <w:r w:rsidRPr="00AA29AC">
        <w:rPr>
          <w:b/>
        </w:rPr>
        <w:t>Results</w:t>
      </w:r>
    </w:p>
    <w:p w14:paraId="1D7C10BC" w14:textId="5E84AB35" w:rsidR="00F62227" w:rsidRDefault="008E596D" w:rsidP="00D40D9E">
      <w:pPr>
        <w:jc w:val="both"/>
      </w:pPr>
      <w:r>
        <w:t>87 CTEPH patients and 151 PE patients were included in the analysis.</w:t>
      </w:r>
      <w:r w:rsidR="00F62227">
        <w:t xml:space="preserve"> 151 subjects formed the PE comparator group. </w:t>
      </w:r>
      <w:r>
        <w:t xml:space="preserve">There was no significant difference in lung volume between the two groups (3.01L vs 2.97L p=0.31). </w:t>
      </w:r>
      <w:r w:rsidR="00F62227">
        <w:t xml:space="preserve">The most notable difference between the two </w:t>
      </w:r>
      <w:r>
        <w:t>cohorts</w:t>
      </w:r>
      <w:r w:rsidR="00F62227">
        <w:t xml:space="preserve"> was a significantly lower small venous volume</w:t>
      </w:r>
      <w:r w:rsidR="00103F17">
        <w:t xml:space="preserve"> BV5 normalized by either lung volume </w:t>
      </w:r>
      <w:r w:rsidR="00F62227">
        <w:t>(6.6 vs 8.9 p</w:t>
      </w:r>
      <w:r w:rsidR="00103F17">
        <w:t xml:space="preserve"> = 0.003) or total venous volume (0.31 vs 0.41, p = 0.006)</w:t>
      </w:r>
      <w:r>
        <w:t xml:space="preserve"> in the PE cohort</w:t>
      </w:r>
      <w:r w:rsidR="00103F17">
        <w:t xml:space="preserve">. Similarly venous BV10 normalized by lung volume (15.2 vs 17.0 p = 0.02) </w:t>
      </w:r>
      <w:r>
        <w:t xml:space="preserve"> were lower in the acute PE cohort. There was no difference in total arterial (35.0 vs 35.1 p=0.90</w:t>
      </w:r>
      <w:proofErr w:type="gramStart"/>
      <w:r>
        <w:t>)</w:t>
      </w:r>
      <w:proofErr w:type="gramEnd"/>
      <w:r>
        <w:t xml:space="preserve"> and total </w:t>
      </w:r>
      <w:proofErr w:type="gramStart"/>
      <w:r>
        <w:t>venous</w:t>
      </w:r>
      <w:proofErr w:type="gramEnd"/>
      <w:r>
        <w:t xml:space="preserve"> (22.7 vs </w:t>
      </w:r>
      <w:proofErr w:type="gramStart"/>
      <w:r>
        <w:t>22.3  p</w:t>
      </w:r>
      <w:proofErr w:type="gramEnd"/>
      <w:r>
        <w:t>=0.61)</w:t>
      </w:r>
      <w:r w:rsidR="00230971">
        <w:t xml:space="preserve"> volumes normalized by lung volume</w:t>
      </w:r>
      <w:r>
        <w:t>.</w:t>
      </w:r>
      <w:r w:rsidR="00103F17">
        <w:t xml:space="preserve"> </w:t>
      </w:r>
    </w:p>
    <w:p w14:paraId="39DFDEE2" w14:textId="77777777" w:rsidR="00F62227" w:rsidRDefault="00F62227" w:rsidP="00D40D9E">
      <w:pPr>
        <w:jc w:val="both"/>
      </w:pPr>
    </w:p>
    <w:p w14:paraId="57D8F2D2" w14:textId="1B1F4D5A" w:rsidR="00AA29AC" w:rsidRPr="00AA29AC" w:rsidRDefault="00EA47B9" w:rsidP="0025476F">
      <w:pPr>
        <w:jc w:val="both"/>
        <w:rPr>
          <w:b/>
        </w:rPr>
      </w:pPr>
      <w:r>
        <w:rPr>
          <w:b/>
        </w:rPr>
        <w:t>Discussion</w:t>
      </w:r>
    </w:p>
    <w:p w14:paraId="38E85408" w14:textId="7F0EC0F2" w:rsidR="00AA29AC" w:rsidRDefault="008E596D" w:rsidP="0025476F">
      <w:pPr>
        <w:jc w:val="both"/>
      </w:pPr>
      <w:r>
        <w:t xml:space="preserve">In this comparison of patients with established CTEPH undergoing PTE and those with diagnosis of acute PE, we found lower small and medium sized venous volumes in acute PE as compared to CTEPH. This may represent the acute loss of flow into the venous system which may be partially compensated in CTEPH by establishment of collaterals. Venous small vessel volumes may serve as a marker of disease chronicity in thromboembolic disease.  </w:t>
      </w:r>
    </w:p>
    <w:p w14:paraId="751475F8" w14:textId="77777777" w:rsidR="009F20BE" w:rsidRDefault="009F20BE" w:rsidP="0025476F">
      <w:pPr>
        <w:jc w:val="both"/>
      </w:pPr>
    </w:p>
    <w:p w14:paraId="2CFE9D96" w14:textId="648DFCCB" w:rsidR="009F20BE" w:rsidRDefault="009F20BE" w:rsidP="0025476F">
      <w:pPr>
        <w:jc w:val="both"/>
      </w:pPr>
    </w:p>
    <w:sectPr w:rsidR="009F2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8A3"/>
    <w:multiLevelType w:val="hybridMultilevel"/>
    <w:tmpl w:val="4FCA5B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4B660E"/>
    <w:multiLevelType w:val="hybridMultilevel"/>
    <w:tmpl w:val="8F18F370"/>
    <w:lvl w:ilvl="0" w:tplc="DC4E3B54">
      <w:start w:val="1"/>
      <w:numFmt w:val="decimal"/>
      <w:lvlText w:val="%1)"/>
      <w:lvlJc w:val="left"/>
      <w:pPr>
        <w:ind w:left="720" w:hanging="360"/>
      </w:pPr>
      <w:rPr>
        <w:rFonts w:eastAsia="Times New Roman"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3795541">
    <w:abstractNumId w:val="0"/>
  </w:num>
  <w:num w:numId="2" w16cid:durableId="254628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00"/>
    <w:rsid w:val="00032EAB"/>
    <w:rsid w:val="000535D3"/>
    <w:rsid w:val="00085ED9"/>
    <w:rsid w:val="000A0BE8"/>
    <w:rsid w:val="000A1BA6"/>
    <w:rsid w:val="00103F17"/>
    <w:rsid w:val="0011439B"/>
    <w:rsid w:val="00130800"/>
    <w:rsid w:val="001A68C1"/>
    <w:rsid w:val="00210CFD"/>
    <w:rsid w:val="00230971"/>
    <w:rsid w:val="0025476F"/>
    <w:rsid w:val="002945A3"/>
    <w:rsid w:val="002A2D5C"/>
    <w:rsid w:val="002B1C60"/>
    <w:rsid w:val="002C07DC"/>
    <w:rsid w:val="002F1C46"/>
    <w:rsid w:val="00343704"/>
    <w:rsid w:val="00353578"/>
    <w:rsid w:val="003551DE"/>
    <w:rsid w:val="0040620B"/>
    <w:rsid w:val="00407796"/>
    <w:rsid w:val="00471086"/>
    <w:rsid w:val="00485B4D"/>
    <w:rsid w:val="00495EBF"/>
    <w:rsid w:val="004A6215"/>
    <w:rsid w:val="004E10CC"/>
    <w:rsid w:val="005031E6"/>
    <w:rsid w:val="0052540C"/>
    <w:rsid w:val="0056262A"/>
    <w:rsid w:val="00564B20"/>
    <w:rsid w:val="005835A0"/>
    <w:rsid w:val="005D2840"/>
    <w:rsid w:val="005F1954"/>
    <w:rsid w:val="00617A1C"/>
    <w:rsid w:val="00622BF2"/>
    <w:rsid w:val="00624066"/>
    <w:rsid w:val="00630C44"/>
    <w:rsid w:val="00681AC9"/>
    <w:rsid w:val="006A2711"/>
    <w:rsid w:val="006B5ECF"/>
    <w:rsid w:val="00701F47"/>
    <w:rsid w:val="00707067"/>
    <w:rsid w:val="007A14ED"/>
    <w:rsid w:val="007A6B09"/>
    <w:rsid w:val="007D4959"/>
    <w:rsid w:val="007F0ADC"/>
    <w:rsid w:val="008E4BC4"/>
    <w:rsid w:val="008E596D"/>
    <w:rsid w:val="008F3D6D"/>
    <w:rsid w:val="008F5DB8"/>
    <w:rsid w:val="00942B75"/>
    <w:rsid w:val="0094786A"/>
    <w:rsid w:val="00970026"/>
    <w:rsid w:val="009C26F6"/>
    <w:rsid w:val="009D2AFE"/>
    <w:rsid w:val="009E3F5D"/>
    <w:rsid w:val="009F20BE"/>
    <w:rsid w:val="009F3A97"/>
    <w:rsid w:val="00A01D89"/>
    <w:rsid w:val="00A219E9"/>
    <w:rsid w:val="00AA29AC"/>
    <w:rsid w:val="00AA33CB"/>
    <w:rsid w:val="00AE51F4"/>
    <w:rsid w:val="00AF72D5"/>
    <w:rsid w:val="00B3184A"/>
    <w:rsid w:val="00B82B2A"/>
    <w:rsid w:val="00B8367A"/>
    <w:rsid w:val="00C301A5"/>
    <w:rsid w:val="00C745AD"/>
    <w:rsid w:val="00CE691F"/>
    <w:rsid w:val="00D3795A"/>
    <w:rsid w:val="00D40D9E"/>
    <w:rsid w:val="00D8660B"/>
    <w:rsid w:val="00E2585A"/>
    <w:rsid w:val="00E707BB"/>
    <w:rsid w:val="00E80F6D"/>
    <w:rsid w:val="00E929E9"/>
    <w:rsid w:val="00EA47B9"/>
    <w:rsid w:val="00EB47D9"/>
    <w:rsid w:val="00EC7BEF"/>
    <w:rsid w:val="00F44CDF"/>
    <w:rsid w:val="00F5739A"/>
    <w:rsid w:val="00F62227"/>
    <w:rsid w:val="00F65D87"/>
    <w:rsid w:val="00F763A3"/>
    <w:rsid w:val="00FB4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6A34"/>
  <w15:docId w15:val="{BAFB4918-FBA2-4252-A5DF-77DC29E8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4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4E6D"/>
    <w:pPr>
      <w:ind w:left="720"/>
      <w:contextualSpacing/>
    </w:pPr>
  </w:style>
  <w:style w:type="paragraph" w:styleId="BalloonText">
    <w:name w:val="Balloon Text"/>
    <w:basedOn w:val="Normal"/>
    <w:link w:val="BalloonTextChar"/>
    <w:uiPriority w:val="99"/>
    <w:semiHidden/>
    <w:unhideWhenUsed/>
    <w:rsid w:val="009F2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0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78424">
      <w:bodyDiv w:val="1"/>
      <w:marLeft w:val="0"/>
      <w:marRight w:val="0"/>
      <w:marTop w:val="0"/>
      <w:marBottom w:val="0"/>
      <w:divBdr>
        <w:top w:val="none" w:sz="0" w:space="0" w:color="auto"/>
        <w:left w:val="none" w:sz="0" w:space="0" w:color="auto"/>
        <w:bottom w:val="none" w:sz="0" w:space="0" w:color="auto"/>
        <w:right w:val="none" w:sz="0" w:space="0" w:color="auto"/>
      </w:divBdr>
    </w:div>
    <w:div w:id="481433493">
      <w:bodyDiv w:val="1"/>
      <w:marLeft w:val="0"/>
      <w:marRight w:val="0"/>
      <w:marTop w:val="0"/>
      <w:marBottom w:val="0"/>
      <w:divBdr>
        <w:top w:val="none" w:sz="0" w:space="0" w:color="auto"/>
        <w:left w:val="none" w:sz="0" w:space="0" w:color="auto"/>
        <w:bottom w:val="none" w:sz="0" w:space="0" w:color="auto"/>
        <w:right w:val="none" w:sz="0" w:space="0" w:color="auto"/>
      </w:divBdr>
    </w:div>
    <w:div w:id="1408191758">
      <w:bodyDiv w:val="1"/>
      <w:marLeft w:val="0"/>
      <w:marRight w:val="0"/>
      <w:marTop w:val="0"/>
      <w:marBottom w:val="0"/>
      <w:divBdr>
        <w:top w:val="none" w:sz="0" w:space="0" w:color="auto"/>
        <w:left w:val="none" w:sz="0" w:space="0" w:color="auto"/>
        <w:bottom w:val="none" w:sz="0" w:space="0" w:color="auto"/>
        <w:right w:val="none" w:sz="0" w:space="0" w:color="auto"/>
      </w:divBdr>
    </w:div>
    <w:div w:id="212526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Farbod Rahaghi</cp:lastModifiedBy>
  <cp:revision>2</cp:revision>
  <dcterms:created xsi:type="dcterms:W3CDTF">2026-03-15T18:36:00Z</dcterms:created>
  <dcterms:modified xsi:type="dcterms:W3CDTF">2026-03-15T18:36:00Z</dcterms:modified>
</cp:coreProperties>
</file>