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BE2" w:rsidRDefault="00C80BE2" w:rsidP="00EB24F0">
      <w:pPr>
        <w:pStyle w:val="NormalWeb"/>
        <w:spacing w:line="360" w:lineRule="auto"/>
        <w:rPr>
          <w:b/>
          <w:bCs/>
          <w:sz w:val="28"/>
          <w:szCs w:val="28"/>
          <w:lang w:val="en-US"/>
        </w:rPr>
      </w:pPr>
      <w:r w:rsidRPr="008A4352">
        <w:rPr>
          <w:b/>
          <w:bCs/>
          <w:sz w:val="28"/>
          <w:szCs w:val="28"/>
          <w:lang w:val="en-US"/>
        </w:rPr>
        <w:t>Clinical</w:t>
      </w:r>
      <w:r w:rsidR="00922414" w:rsidRPr="008A4352">
        <w:rPr>
          <w:b/>
          <w:bCs/>
          <w:sz w:val="28"/>
          <w:szCs w:val="28"/>
          <w:lang w:val="en-US"/>
        </w:rPr>
        <w:t xml:space="preserve">, </w:t>
      </w:r>
      <w:r w:rsidR="00547B47" w:rsidRPr="008A4352">
        <w:rPr>
          <w:b/>
          <w:bCs/>
          <w:sz w:val="28"/>
          <w:szCs w:val="28"/>
          <w:lang w:val="en-US"/>
        </w:rPr>
        <w:t>Echocardiographic and</w:t>
      </w:r>
      <w:r w:rsidRPr="008A4352">
        <w:rPr>
          <w:b/>
          <w:bCs/>
          <w:sz w:val="28"/>
          <w:szCs w:val="28"/>
          <w:lang w:val="en-US"/>
        </w:rPr>
        <w:t xml:space="preserve"> Hemodynamic </w:t>
      </w:r>
      <w:r w:rsidR="008E33AB" w:rsidRPr="008A4352">
        <w:rPr>
          <w:b/>
          <w:bCs/>
          <w:sz w:val="28"/>
          <w:szCs w:val="28"/>
          <w:lang w:val="en-US"/>
        </w:rPr>
        <w:t>Measures</w:t>
      </w:r>
      <w:r w:rsidR="00A967FF" w:rsidRPr="008A4352">
        <w:rPr>
          <w:b/>
          <w:bCs/>
          <w:sz w:val="28"/>
          <w:szCs w:val="28"/>
          <w:lang w:val="en-US"/>
        </w:rPr>
        <w:t xml:space="preserve">, and Treatment </w:t>
      </w:r>
      <w:r w:rsidR="00547B47" w:rsidRPr="008A4352">
        <w:rPr>
          <w:b/>
          <w:bCs/>
          <w:sz w:val="28"/>
          <w:szCs w:val="28"/>
          <w:lang w:val="en-US"/>
        </w:rPr>
        <w:t>Patterns Associated</w:t>
      </w:r>
      <w:r w:rsidRPr="008A4352">
        <w:rPr>
          <w:b/>
          <w:bCs/>
          <w:sz w:val="28"/>
          <w:szCs w:val="28"/>
          <w:lang w:val="en-US"/>
        </w:rPr>
        <w:t xml:space="preserve"> with Survival in Chronic Thromboembolic Pulmonary Hypertension: A Single-Center Cohort Study</w:t>
      </w:r>
    </w:p>
    <w:p w:rsidR="00792F8C" w:rsidRDefault="008022EF" w:rsidP="00792F8C">
      <w:pPr>
        <w:pStyle w:val="NormalWeb"/>
        <w:spacing w:line="360" w:lineRule="auto"/>
        <w:rPr>
          <w:vertAlign w:val="superscript"/>
          <w:lang w:val="en-US"/>
        </w:rPr>
      </w:pPr>
      <w:proofErr w:type="spellStart"/>
      <w:r>
        <w:rPr>
          <w:lang w:val="en-US"/>
        </w:rPr>
        <w:t>Cihangir</w:t>
      </w:r>
      <w:proofErr w:type="spellEnd"/>
      <w:r>
        <w:rPr>
          <w:lang w:val="en-US"/>
        </w:rPr>
        <w:t xml:space="preserve"> Kaymaz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Barkin</w:t>
      </w:r>
      <w:proofErr w:type="spellEnd"/>
      <w:r>
        <w:rPr>
          <w:lang w:val="en-US"/>
        </w:rPr>
        <w:t xml:space="preserve"> Kultursay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Hacer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Ceren</w:t>
      </w:r>
      <w:proofErr w:type="spellEnd"/>
      <w:r>
        <w:rPr>
          <w:lang w:val="en-US"/>
        </w:rPr>
        <w:t xml:space="preserve"> Tokgoz</w:t>
      </w:r>
      <w:r>
        <w:rPr>
          <w:vertAlign w:val="superscript"/>
          <w:lang w:val="en-US"/>
        </w:rPr>
        <w:t>1</w:t>
      </w:r>
      <w:r>
        <w:rPr>
          <w:lang w:val="en-US"/>
        </w:rPr>
        <w:t>, Seda Tanyeri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Cagdas</w:t>
      </w:r>
      <w:proofErr w:type="spellEnd"/>
      <w:r>
        <w:rPr>
          <w:lang w:val="en-US"/>
        </w:rPr>
        <w:t xml:space="preserve"> Bulus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Caglar</w:t>
      </w:r>
      <w:proofErr w:type="spellEnd"/>
      <w:r>
        <w:rPr>
          <w:lang w:val="en-US"/>
        </w:rPr>
        <w:t xml:space="preserve"> Emre Cagliyan</w:t>
      </w:r>
      <w:r>
        <w:rPr>
          <w:vertAlign w:val="superscript"/>
          <w:lang w:val="en-US"/>
        </w:rPr>
        <w:t>3</w:t>
      </w:r>
      <w:r>
        <w:rPr>
          <w:lang w:val="en-US"/>
        </w:rPr>
        <w:t>, Berhan Keskin</w:t>
      </w:r>
      <w:r>
        <w:rPr>
          <w:vertAlign w:val="superscript"/>
          <w:lang w:val="en-US"/>
        </w:rPr>
        <w:t>4</w:t>
      </w:r>
      <w:r>
        <w:rPr>
          <w:lang w:val="en-US"/>
        </w:rPr>
        <w:t>, Aykun Hakgor</w:t>
      </w:r>
      <w:r>
        <w:rPr>
          <w:vertAlign w:val="superscript"/>
          <w:lang w:val="en-US"/>
        </w:rPr>
        <w:t>4</w:t>
      </w:r>
      <w:r>
        <w:rPr>
          <w:lang w:val="en-US"/>
        </w:rPr>
        <w:t>, Mehmed Yanartas</w:t>
      </w:r>
      <w:r>
        <w:rPr>
          <w:vertAlign w:val="superscript"/>
          <w:lang w:val="en-US"/>
        </w:rPr>
        <w:t>5</w:t>
      </w:r>
      <w:r>
        <w:rPr>
          <w:lang w:val="en-US"/>
        </w:rPr>
        <w:t>, Nihal Ozdemir</w:t>
      </w:r>
      <w:r>
        <w:rPr>
          <w:vertAlign w:val="superscript"/>
          <w:lang w:val="en-US"/>
        </w:rPr>
        <w:t>1</w:t>
      </w:r>
    </w:p>
    <w:p w:rsidR="008022EF" w:rsidRPr="00792F8C" w:rsidRDefault="008022EF" w:rsidP="00792F8C">
      <w:pPr>
        <w:pStyle w:val="NormalWeb"/>
        <w:spacing w:line="360" w:lineRule="auto"/>
        <w:rPr>
          <w:vertAlign w:val="superscript"/>
          <w:lang w:val="en-US"/>
        </w:rPr>
      </w:pPr>
      <w:r w:rsidRPr="008022EF">
        <w:rPr>
          <w:sz w:val="21"/>
          <w:szCs w:val="21"/>
          <w:vertAlign w:val="superscript"/>
          <w:lang w:val="en-US"/>
        </w:rPr>
        <w:t>1</w:t>
      </w:r>
      <w:r w:rsidRPr="008022EF">
        <w:rPr>
          <w:sz w:val="21"/>
          <w:szCs w:val="21"/>
          <w:lang w:val="en-US"/>
        </w:rPr>
        <w:t>Kartal Kosuyolu High Specialization Education and Research Hospital, Istanbul, Turkey</w:t>
      </w:r>
      <w:r w:rsidR="001F4ED6">
        <w:rPr>
          <w:sz w:val="21"/>
          <w:szCs w:val="21"/>
          <w:lang w:val="en-US"/>
        </w:rPr>
        <w:t xml:space="preserve">, </w:t>
      </w:r>
      <w:r w:rsidRPr="008022EF">
        <w:rPr>
          <w:sz w:val="21"/>
          <w:szCs w:val="21"/>
          <w:vertAlign w:val="superscript"/>
          <w:lang w:val="en-US"/>
        </w:rPr>
        <w:t>2</w:t>
      </w:r>
      <w:r w:rsidRPr="008022EF">
        <w:rPr>
          <w:sz w:val="21"/>
          <w:szCs w:val="21"/>
          <w:lang w:val="en-US"/>
        </w:rPr>
        <w:t xml:space="preserve">Tunceli State Hospital, Cardiology, </w:t>
      </w:r>
      <w:proofErr w:type="spellStart"/>
      <w:r w:rsidRPr="008022EF">
        <w:rPr>
          <w:sz w:val="21"/>
          <w:szCs w:val="21"/>
          <w:lang w:val="en-US"/>
        </w:rPr>
        <w:t>Tunceli</w:t>
      </w:r>
      <w:proofErr w:type="spellEnd"/>
      <w:r w:rsidRPr="008022EF">
        <w:rPr>
          <w:sz w:val="21"/>
          <w:szCs w:val="21"/>
          <w:lang w:val="en-US"/>
        </w:rPr>
        <w:t>, Turkey</w:t>
      </w:r>
      <w:r w:rsidR="001F4ED6">
        <w:rPr>
          <w:sz w:val="21"/>
          <w:szCs w:val="21"/>
          <w:lang w:val="en-US"/>
        </w:rPr>
        <w:t xml:space="preserve">, </w:t>
      </w:r>
      <w:r w:rsidRPr="008022EF">
        <w:rPr>
          <w:sz w:val="21"/>
          <w:szCs w:val="21"/>
          <w:vertAlign w:val="superscript"/>
          <w:lang w:val="en-US"/>
        </w:rPr>
        <w:t>3</w:t>
      </w:r>
      <w:r w:rsidRPr="008022EF">
        <w:rPr>
          <w:sz w:val="21"/>
          <w:szCs w:val="21"/>
          <w:lang w:val="en-US"/>
        </w:rPr>
        <w:t xml:space="preserve">Adana </w:t>
      </w:r>
      <w:proofErr w:type="spellStart"/>
      <w:r w:rsidRPr="008022EF">
        <w:rPr>
          <w:sz w:val="21"/>
          <w:szCs w:val="21"/>
          <w:lang w:val="en-US"/>
        </w:rPr>
        <w:t>Cukurova</w:t>
      </w:r>
      <w:proofErr w:type="spellEnd"/>
      <w:r w:rsidRPr="008022EF">
        <w:rPr>
          <w:sz w:val="21"/>
          <w:szCs w:val="21"/>
          <w:lang w:val="en-US"/>
        </w:rPr>
        <w:t xml:space="preserve"> University, Faculty of Medicine, Cardiology, Adana, Turkey</w:t>
      </w:r>
      <w:r w:rsidR="001F4ED6">
        <w:rPr>
          <w:sz w:val="21"/>
          <w:szCs w:val="21"/>
          <w:lang w:val="en-US"/>
        </w:rPr>
        <w:t xml:space="preserve">, </w:t>
      </w:r>
      <w:r w:rsidRPr="008022EF">
        <w:rPr>
          <w:sz w:val="21"/>
          <w:szCs w:val="21"/>
          <w:vertAlign w:val="superscript"/>
          <w:lang w:val="en-US"/>
        </w:rPr>
        <w:t>4</w:t>
      </w:r>
      <w:r w:rsidRPr="008022EF">
        <w:rPr>
          <w:sz w:val="21"/>
          <w:szCs w:val="21"/>
          <w:lang w:val="en-US"/>
        </w:rPr>
        <w:t>Medipol University Faculty of Medicine, Cardiology, Istanbul</w:t>
      </w:r>
      <w:r w:rsidRPr="008022EF">
        <w:rPr>
          <w:sz w:val="21"/>
          <w:szCs w:val="21"/>
          <w:lang w:val="en-US"/>
        </w:rPr>
        <w:t>, Turkey</w:t>
      </w:r>
      <w:r w:rsidR="001F4ED6">
        <w:rPr>
          <w:sz w:val="21"/>
          <w:szCs w:val="21"/>
          <w:lang w:val="en-US"/>
        </w:rPr>
        <w:t xml:space="preserve">, </w:t>
      </w:r>
      <w:r w:rsidRPr="008022EF">
        <w:rPr>
          <w:sz w:val="21"/>
          <w:szCs w:val="21"/>
          <w:vertAlign w:val="superscript"/>
          <w:lang w:val="en-US"/>
        </w:rPr>
        <w:t>5</w:t>
      </w:r>
      <w:r w:rsidRPr="008022EF">
        <w:rPr>
          <w:sz w:val="21"/>
          <w:szCs w:val="21"/>
          <w:lang w:val="en-US"/>
        </w:rPr>
        <w:t>Basaksehir Pine and Sakura City Hospital</w:t>
      </w:r>
      <w:r w:rsidRPr="008022EF">
        <w:rPr>
          <w:sz w:val="21"/>
          <w:szCs w:val="21"/>
          <w:lang w:val="en-US"/>
        </w:rPr>
        <w:t>, Cardiovascular Surgery, Istanbul, Turkey</w:t>
      </w:r>
    </w:p>
    <w:p w:rsidR="00C80BE2" w:rsidRPr="001823D5" w:rsidRDefault="00C80BE2" w:rsidP="00EB24F0">
      <w:pPr>
        <w:pStyle w:val="NormalWeb"/>
        <w:spacing w:line="360" w:lineRule="auto"/>
        <w:rPr>
          <w:lang w:val="en-US"/>
        </w:rPr>
      </w:pPr>
      <w:r w:rsidRPr="00547B47">
        <w:rPr>
          <w:b/>
          <w:lang w:val="en-US"/>
        </w:rPr>
        <w:t>Background and Aim:</w:t>
      </w:r>
      <w:r w:rsidRPr="001823D5">
        <w:rPr>
          <w:lang w:val="en-US"/>
        </w:rPr>
        <w:t xml:space="preserve"> Chronic thromboembolic pulmonary hypertension (CTEPH) is a complex condition characterized by </w:t>
      </w:r>
      <w:r w:rsidR="005846BE" w:rsidRPr="001823D5">
        <w:rPr>
          <w:lang w:val="en-US"/>
        </w:rPr>
        <w:t xml:space="preserve">long-standing thrombotic </w:t>
      </w:r>
      <w:r w:rsidRPr="001823D5">
        <w:rPr>
          <w:lang w:val="en-US"/>
        </w:rPr>
        <w:t>obstruction and secondary vasculopathy</w:t>
      </w:r>
      <w:r w:rsidR="004A0C28" w:rsidRPr="001823D5">
        <w:rPr>
          <w:lang w:val="en-US"/>
        </w:rPr>
        <w:t xml:space="preserve">, </w:t>
      </w:r>
      <w:r w:rsidR="00547B47" w:rsidRPr="001823D5">
        <w:rPr>
          <w:lang w:val="en-US"/>
        </w:rPr>
        <w:t>and identifying</w:t>
      </w:r>
      <w:r w:rsidRPr="001823D5">
        <w:rPr>
          <w:lang w:val="en-US"/>
        </w:rPr>
        <w:t xml:space="preserve"> factors associated with long-term outcomes is crucial for optimizing patient care. This study aimed to evaluate the clinical, </w:t>
      </w:r>
      <w:r w:rsidR="004A0C28" w:rsidRPr="001823D5">
        <w:rPr>
          <w:lang w:val="en-US"/>
        </w:rPr>
        <w:t xml:space="preserve">echocardiographic, and </w:t>
      </w:r>
      <w:r w:rsidRPr="001823D5">
        <w:rPr>
          <w:lang w:val="en-US"/>
        </w:rPr>
        <w:t xml:space="preserve">hemodynamic </w:t>
      </w:r>
      <w:r w:rsidR="004A0C28" w:rsidRPr="001823D5">
        <w:rPr>
          <w:lang w:val="en-US"/>
        </w:rPr>
        <w:t xml:space="preserve">measures </w:t>
      </w:r>
      <w:r w:rsidRPr="001823D5">
        <w:rPr>
          <w:lang w:val="en-US"/>
        </w:rPr>
        <w:t>associated with survival in patients with CTEPH.</w:t>
      </w:r>
    </w:p>
    <w:p w:rsidR="00C80BE2" w:rsidRPr="001823D5" w:rsidRDefault="00C80BE2" w:rsidP="00EB24F0">
      <w:pPr>
        <w:pStyle w:val="NormalWeb"/>
        <w:spacing w:line="360" w:lineRule="auto"/>
        <w:rPr>
          <w:lang w:val="en-US"/>
        </w:rPr>
      </w:pPr>
      <w:r w:rsidRPr="00547B47">
        <w:rPr>
          <w:b/>
          <w:lang w:val="en-US"/>
        </w:rPr>
        <w:t>Methods:</w:t>
      </w:r>
      <w:r w:rsidRPr="001823D5">
        <w:rPr>
          <w:lang w:val="en-US"/>
        </w:rPr>
        <w:t xml:space="preserve"> We retrospectively </w:t>
      </w:r>
      <w:r w:rsidR="00547B47" w:rsidRPr="001823D5">
        <w:rPr>
          <w:lang w:val="en-US"/>
        </w:rPr>
        <w:t>analyzed baseline</w:t>
      </w:r>
      <w:r w:rsidR="007F6088" w:rsidRPr="001823D5">
        <w:rPr>
          <w:lang w:val="en-US"/>
        </w:rPr>
        <w:t xml:space="preserve"> </w:t>
      </w:r>
      <w:r w:rsidR="00547B47" w:rsidRPr="001823D5">
        <w:rPr>
          <w:lang w:val="en-US"/>
        </w:rPr>
        <w:t>and follow</w:t>
      </w:r>
      <w:r w:rsidR="007F6088" w:rsidRPr="001823D5">
        <w:rPr>
          <w:lang w:val="en-US"/>
        </w:rPr>
        <w:t>-up (</w:t>
      </w:r>
      <w:r w:rsidR="00547B47" w:rsidRPr="001823D5">
        <w:rPr>
          <w:lang w:val="en-US"/>
        </w:rPr>
        <w:t>FU) clinical</w:t>
      </w:r>
      <w:r w:rsidR="008452C0" w:rsidRPr="001823D5">
        <w:rPr>
          <w:lang w:val="en-US"/>
        </w:rPr>
        <w:t>, echocardiographic and hemodynamic measures and multiparametric risk scores</w:t>
      </w:r>
      <w:r w:rsidR="004F193B" w:rsidRPr="001823D5">
        <w:rPr>
          <w:lang w:val="en-US"/>
        </w:rPr>
        <w:t xml:space="preserve"> (</w:t>
      </w:r>
      <w:r w:rsidR="00547B47" w:rsidRPr="001823D5">
        <w:rPr>
          <w:lang w:val="en-US"/>
        </w:rPr>
        <w:t>MRS) in</w:t>
      </w:r>
      <w:r w:rsidR="007F6088" w:rsidRPr="001823D5">
        <w:rPr>
          <w:lang w:val="en-US"/>
        </w:rPr>
        <w:t xml:space="preserve"> </w:t>
      </w:r>
      <w:r w:rsidR="0014038C" w:rsidRPr="001823D5">
        <w:rPr>
          <w:lang w:val="en-US"/>
        </w:rPr>
        <w:t xml:space="preserve">299 </w:t>
      </w:r>
      <w:r w:rsidR="00547B47" w:rsidRPr="001823D5">
        <w:rPr>
          <w:lang w:val="en-US"/>
        </w:rPr>
        <w:t>CTEPH patients</w:t>
      </w:r>
      <w:r w:rsidR="007F6088" w:rsidRPr="001823D5">
        <w:rPr>
          <w:lang w:val="en-US"/>
        </w:rPr>
        <w:t xml:space="preserve"> </w:t>
      </w:r>
      <w:r w:rsidR="0014038C" w:rsidRPr="001823D5">
        <w:rPr>
          <w:lang w:val="en-US"/>
        </w:rPr>
        <w:t xml:space="preserve">out of the </w:t>
      </w:r>
      <w:r w:rsidR="0014038C" w:rsidRPr="001823D5">
        <w:rPr>
          <w:bCs/>
          <w:lang w:val="en-US"/>
        </w:rPr>
        <w:t xml:space="preserve">1213 PH patients enrolled into </w:t>
      </w:r>
      <w:r w:rsidR="00547B47" w:rsidRPr="001823D5">
        <w:rPr>
          <w:bCs/>
          <w:lang w:val="en-US"/>
        </w:rPr>
        <w:t>our</w:t>
      </w:r>
      <w:r w:rsidRPr="001823D5">
        <w:rPr>
          <w:lang w:val="en-US"/>
        </w:rPr>
        <w:t xml:space="preserve"> </w:t>
      </w:r>
      <w:r w:rsidR="00547B47" w:rsidRPr="001823D5">
        <w:rPr>
          <w:lang w:val="en-US"/>
        </w:rPr>
        <w:t>PH single</w:t>
      </w:r>
      <w:r w:rsidR="0014038C" w:rsidRPr="001823D5">
        <w:rPr>
          <w:lang w:val="en-US"/>
        </w:rPr>
        <w:t>-center study</w:t>
      </w:r>
      <w:r w:rsidRPr="001823D5">
        <w:rPr>
          <w:lang w:val="en-US"/>
        </w:rPr>
        <w:t>. Survival patterns were examined using Kaplan-Meier curves and the Log-rank test</w:t>
      </w:r>
      <w:r w:rsidR="009E75E7" w:rsidRPr="001823D5">
        <w:rPr>
          <w:lang w:val="en-US"/>
        </w:rPr>
        <w:t>, and Cox proportional hazards analysis was utilized t</w:t>
      </w:r>
      <w:r w:rsidRPr="001823D5">
        <w:rPr>
          <w:lang w:val="en-US"/>
        </w:rPr>
        <w:t>o determine the fa</w:t>
      </w:r>
      <w:r w:rsidR="009E75E7" w:rsidRPr="001823D5">
        <w:rPr>
          <w:lang w:val="en-US"/>
        </w:rPr>
        <w:t>ctors associated with mortality</w:t>
      </w:r>
      <w:r w:rsidRPr="001823D5">
        <w:rPr>
          <w:lang w:val="en-US"/>
        </w:rPr>
        <w:t xml:space="preserve">. Hemodynamic parameters, including </w:t>
      </w:r>
      <w:r w:rsidR="00C43916" w:rsidRPr="001823D5">
        <w:rPr>
          <w:lang w:val="en-US"/>
        </w:rPr>
        <w:t xml:space="preserve">cardiac </w:t>
      </w:r>
      <w:r w:rsidR="00547B47">
        <w:rPr>
          <w:lang w:val="en-US"/>
        </w:rPr>
        <w:t>i</w:t>
      </w:r>
      <w:r w:rsidR="00C43916" w:rsidRPr="001823D5">
        <w:rPr>
          <w:lang w:val="en-US"/>
        </w:rPr>
        <w:t xml:space="preserve">ndex (CI), </w:t>
      </w:r>
      <w:r w:rsidR="00163A78" w:rsidRPr="001823D5">
        <w:rPr>
          <w:lang w:val="en-US"/>
        </w:rPr>
        <w:t>pulmonary vascular resistance</w:t>
      </w:r>
      <w:r w:rsidR="00C43916" w:rsidRPr="001823D5">
        <w:rPr>
          <w:lang w:val="en-US"/>
        </w:rPr>
        <w:t xml:space="preserve"> (PVR) and its ratio with systemic vascular resistance (SVR)</w:t>
      </w:r>
      <w:r w:rsidR="00163A78" w:rsidRPr="001823D5">
        <w:rPr>
          <w:lang w:val="en-US"/>
        </w:rPr>
        <w:t xml:space="preserve">, pulmonary capillary wedge pressure </w:t>
      </w:r>
      <w:r w:rsidR="00C43916" w:rsidRPr="001823D5">
        <w:rPr>
          <w:lang w:val="en-US"/>
        </w:rPr>
        <w:t>(</w:t>
      </w:r>
      <w:r w:rsidRPr="001823D5">
        <w:rPr>
          <w:lang w:val="en-US"/>
        </w:rPr>
        <w:t>PCWP</w:t>
      </w:r>
      <w:r w:rsidR="00C43916" w:rsidRPr="001823D5">
        <w:rPr>
          <w:lang w:val="en-US"/>
        </w:rPr>
        <w:t>)</w:t>
      </w:r>
      <w:r w:rsidRPr="001823D5">
        <w:rPr>
          <w:lang w:val="en-US"/>
        </w:rPr>
        <w:t xml:space="preserve">, </w:t>
      </w:r>
      <w:r w:rsidR="00C43916" w:rsidRPr="001823D5">
        <w:rPr>
          <w:lang w:val="en-US"/>
        </w:rPr>
        <w:t>and</w:t>
      </w:r>
      <w:r w:rsidR="00AD60A7" w:rsidRPr="001823D5">
        <w:rPr>
          <w:lang w:val="en-US"/>
        </w:rPr>
        <w:t xml:space="preserve"> right ventricular and</w:t>
      </w:r>
      <w:r w:rsidR="00C43916" w:rsidRPr="001823D5">
        <w:rPr>
          <w:lang w:val="en-US"/>
        </w:rPr>
        <w:t xml:space="preserve"> left ventricular end-diastolic pressure (</w:t>
      </w:r>
      <w:r w:rsidR="00AD60A7" w:rsidRPr="001823D5">
        <w:rPr>
          <w:lang w:val="en-US"/>
        </w:rPr>
        <w:t xml:space="preserve">RVEDP and </w:t>
      </w:r>
      <w:r w:rsidR="00C43916" w:rsidRPr="001823D5">
        <w:rPr>
          <w:lang w:val="en-US"/>
        </w:rPr>
        <w:t xml:space="preserve">LVEDP) </w:t>
      </w:r>
      <w:r w:rsidR="00547B47" w:rsidRPr="001823D5">
        <w:rPr>
          <w:lang w:val="en-US"/>
        </w:rPr>
        <w:t>and right</w:t>
      </w:r>
      <w:r w:rsidR="00C43916" w:rsidRPr="001823D5">
        <w:rPr>
          <w:lang w:val="en-US"/>
        </w:rPr>
        <w:t xml:space="preserve"> atrial pressure (</w:t>
      </w:r>
      <w:r w:rsidRPr="001823D5">
        <w:rPr>
          <w:lang w:val="en-US"/>
        </w:rPr>
        <w:t>RAP</w:t>
      </w:r>
      <w:r w:rsidR="00C43916" w:rsidRPr="001823D5">
        <w:rPr>
          <w:lang w:val="en-US"/>
        </w:rPr>
        <w:t>)</w:t>
      </w:r>
      <w:r w:rsidRPr="001823D5">
        <w:rPr>
          <w:lang w:val="en-US"/>
        </w:rPr>
        <w:t xml:space="preserve"> were assessed both as continuous variables and dichotomized by their median values to illustrate their associations with survival.</w:t>
      </w:r>
    </w:p>
    <w:p w:rsidR="00C80BE2" w:rsidRPr="001823D5" w:rsidRDefault="00C80BE2" w:rsidP="00EB24F0">
      <w:pPr>
        <w:pStyle w:val="NormalWeb"/>
        <w:spacing w:line="360" w:lineRule="auto"/>
        <w:rPr>
          <w:lang w:val="en-US"/>
        </w:rPr>
      </w:pPr>
      <w:r w:rsidRPr="00547B47">
        <w:rPr>
          <w:b/>
          <w:lang w:val="en-US"/>
        </w:rPr>
        <w:t>Results:</w:t>
      </w:r>
      <w:r w:rsidR="00662F33" w:rsidRPr="001823D5">
        <w:rPr>
          <w:rFonts w:eastAsiaTheme="minorEastAsia"/>
          <w:bCs/>
          <w:kern w:val="24"/>
          <w:lang w:val="en-US"/>
        </w:rPr>
        <w:t xml:space="preserve"> </w:t>
      </w:r>
      <w:r w:rsidR="007F6088" w:rsidRPr="001823D5">
        <w:rPr>
          <w:rFonts w:eastAsiaTheme="minorEastAsia"/>
          <w:bCs/>
          <w:kern w:val="24"/>
          <w:lang w:val="en-US"/>
        </w:rPr>
        <w:t xml:space="preserve"> </w:t>
      </w:r>
      <w:r w:rsidR="0014038C" w:rsidRPr="001823D5">
        <w:rPr>
          <w:bCs/>
          <w:lang w:val="en-US"/>
        </w:rPr>
        <w:t xml:space="preserve">Median </w:t>
      </w:r>
      <w:r w:rsidR="007F6088" w:rsidRPr="001823D5">
        <w:rPr>
          <w:bCs/>
          <w:lang w:val="en-US"/>
        </w:rPr>
        <w:t xml:space="preserve">FU duration was </w:t>
      </w:r>
      <w:r w:rsidR="00547B47">
        <w:rPr>
          <w:bCs/>
          <w:lang w:val="en-US"/>
        </w:rPr>
        <w:t>616</w:t>
      </w:r>
      <w:r w:rsidR="0014038C" w:rsidRPr="001823D5">
        <w:rPr>
          <w:bCs/>
          <w:lang w:val="en-US"/>
        </w:rPr>
        <w:t xml:space="preserve"> days (</w:t>
      </w:r>
      <w:r w:rsidR="00547B47" w:rsidRPr="00770050">
        <w:rPr>
          <w:lang w:val="en-US"/>
        </w:rPr>
        <w:t>IQR: 135–1900</w:t>
      </w:r>
      <w:r w:rsidR="0014038C" w:rsidRPr="001823D5">
        <w:rPr>
          <w:bCs/>
          <w:lang w:val="en-US"/>
        </w:rPr>
        <w:t>)</w:t>
      </w:r>
      <w:r w:rsidR="007F6088" w:rsidRPr="001823D5">
        <w:rPr>
          <w:bCs/>
          <w:lang w:val="en-US"/>
        </w:rPr>
        <w:t xml:space="preserve"> for overall PH group. </w:t>
      </w:r>
      <w:r w:rsidR="00662F33" w:rsidRPr="001823D5">
        <w:rPr>
          <w:bCs/>
          <w:lang w:val="en-US"/>
        </w:rPr>
        <w:t xml:space="preserve">Mortality risk was 54 % lower </w:t>
      </w:r>
      <w:r w:rsidR="00547B47" w:rsidRPr="001823D5">
        <w:rPr>
          <w:bCs/>
          <w:lang w:val="en-US"/>
        </w:rPr>
        <w:t>in Group</w:t>
      </w:r>
      <w:r w:rsidR="00662F33" w:rsidRPr="001823D5">
        <w:rPr>
          <w:bCs/>
          <w:lang w:val="en-US"/>
        </w:rPr>
        <w:t xml:space="preserve"> 1 PH </w:t>
      </w:r>
      <w:r w:rsidR="00547B47" w:rsidRPr="001823D5">
        <w:rPr>
          <w:bCs/>
          <w:lang w:val="en-US"/>
        </w:rPr>
        <w:t>versus Group</w:t>
      </w:r>
      <w:r w:rsidR="00662F33" w:rsidRPr="001823D5">
        <w:rPr>
          <w:bCs/>
          <w:lang w:val="en-US"/>
        </w:rPr>
        <w:t xml:space="preserve"> 3 PH</w:t>
      </w:r>
      <w:r w:rsidR="007F6088" w:rsidRPr="001823D5">
        <w:rPr>
          <w:bCs/>
          <w:lang w:val="en-US"/>
        </w:rPr>
        <w:t xml:space="preserve">, and </w:t>
      </w:r>
      <w:r w:rsidR="00EB24F0" w:rsidRPr="001823D5">
        <w:rPr>
          <w:bCs/>
          <w:lang w:val="en-US"/>
        </w:rPr>
        <w:t xml:space="preserve">was </w:t>
      </w:r>
      <w:r w:rsidR="007F6088" w:rsidRPr="001823D5">
        <w:rPr>
          <w:bCs/>
          <w:lang w:val="en-US"/>
        </w:rPr>
        <w:t xml:space="preserve">42 % lower in </w:t>
      </w:r>
      <w:r w:rsidR="00662F33" w:rsidRPr="001823D5">
        <w:rPr>
          <w:bCs/>
          <w:lang w:val="en-US"/>
        </w:rPr>
        <w:t>Group 4 PH versus Group 3 PH (p&lt;0.001).</w:t>
      </w:r>
      <w:r w:rsidR="0014038C" w:rsidRPr="001823D5">
        <w:rPr>
          <w:rFonts w:eastAsiaTheme="minorEastAsia"/>
          <w:bCs/>
          <w:color w:val="1B5E20"/>
          <w:kern w:val="24"/>
          <w:position w:val="1"/>
          <w:lang w:val="en-US"/>
        </w:rPr>
        <w:t xml:space="preserve"> </w:t>
      </w:r>
      <w:r w:rsidR="007F6088" w:rsidRPr="001823D5">
        <w:rPr>
          <w:rFonts w:eastAsiaTheme="minorEastAsia"/>
          <w:bCs/>
          <w:kern w:val="24"/>
          <w:lang w:val="en-US"/>
        </w:rPr>
        <w:t xml:space="preserve">Inter-group survival differences became apparent in first 6 to 12 </w:t>
      </w:r>
      <w:r w:rsidR="00547B47" w:rsidRPr="001823D5">
        <w:rPr>
          <w:rFonts w:eastAsiaTheme="minorEastAsia"/>
          <w:bCs/>
          <w:kern w:val="24"/>
          <w:lang w:val="en-US"/>
        </w:rPr>
        <w:t>months.</w:t>
      </w:r>
      <w:r w:rsidR="007F6088" w:rsidRPr="001823D5">
        <w:rPr>
          <w:rFonts w:eastAsiaTheme="minorEastAsia"/>
          <w:bCs/>
          <w:kern w:val="24"/>
          <w:lang w:val="en-US"/>
        </w:rPr>
        <w:t xml:space="preserve"> Pulmonary artery systolic pressure (PASP)</w:t>
      </w:r>
      <w:r w:rsidR="00EB24F0" w:rsidRPr="001823D5">
        <w:rPr>
          <w:rFonts w:eastAsiaTheme="minorEastAsia"/>
          <w:bCs/>
          <w:kern w:val="24"/>
          <w:lang w:val="en-US"/>
        </w:rPr>
        <w:t xml:space="preserve">, </w:t>
      </w:r>
      <w:r w:rsidR="007F6088" w:rsidRPr="001823D5">
        <w:rPr>
          <w:rFonts w:eastAsiaTheme="minorEastAsia"/>
          <w:bCs/>
          <w:kern w:val="24"/>
          <w:lang w:val="en-US"/>
        </w:rPr>
        <w:t xml:space="preserve">tricuspid annular systolic </w:t>
      </w:r>
      <w:r w:rsidR="00547B47" w:rsidRPr="001823D5">
        <w:rPr>
          <w:rFonts w:eastAsiaTheme="minorEastAsia"/>
          <w:bCs/>
          <w:kern w:val="24"/>
          <w:lang w:val="en-US"/>
        </w:rPr>
        <w:t>planar</w:t>
      </w:r>
      <w:r w:rsidR="007F6088" w:rsidRPr="001823D5">
        <w:rPr>
          <w:rFonts w:eastAsiaTheme="minorEastAsia"/>
          <w:bCs/>
          <w:kern w:val="24"/>
          <w:lang w:val="en-US"/>
        </w:rPr>
        <w:t xml:space="preserve"> excursion (TAPSE) and TAPSE/PASP ratio showed significant </w:t>
      </w:r>
      <w:r w:rsidR="00547B47" w:rsidRPr="001823D5">
        <w:rPr>
          <w:rFonts w:eastAsiaTheme="minorEastAsia"/>
          <w:bCs/>
          <w:kern w:val="24"/>
          <w:lang w:val="en-US"/>
        </w:rPr>
        <w:t>improvements</w:t>
      </w:r>
      <w:r w:rsidR="007F6088" w:rsidRPr="001823D5">
        <w:rPr>
          <w:rFonts w:eastAsiaTheme="minorEastAsia"/>
          <w:bCs/>
          <w:kern w:val="24"/>
          <w:lang w:val="en-US"/>
        </w:rPr>
        <w:t xml:space="preserve"> </w:t>
      </w:r>
      <w:r w:rsidR="004F193B" w:rsidRPr="001823D5">
        <w:rPr>
          <w:rFonts w:eastAsiaTheme="minorEastAsia"/>
          <w:bCs/>
          <w:kern w:val="24"/>
          <w:lang w:val="en-US"/>
        </w:rPr>
        <w:t xml:space="preserve">at FU visits </w:t>
      </w:r>
      <w:r w:rsidR="007F6088" w:rsidRPr="001823D5">
        <w:rPr>
          <w:rFonts w:eastAsiaTheme="minorEastAsia"/>
          <w:bCs/>
          <w:kern w:val="24"/>
          <w:lang w:val="en-US"/>
        </w:rPr>
        <w:lastRenderedPageBreak/>
        <w:t>compared with base</w:t>
      </w:r>
      <w:r w:rsidR="004F193B" w:rsidRPr="001823D5">
        <w:rPr>
          <w:rFonts w:eastAsiaTheme="minorEastAsia"/>
          <w:bCs/>
          <w:kern w:val="24"/>
          <w:lang w:val="en-US"/>
        </w:rPr>
        <w:t xml:space="preserve">line in group I and group IV PH (p&lt;0.001), and were more pronounced in latter group (p&lt;0.001). </w:t>
      </w:r>
      <w:r w:rsidRPr="001823D5">
        <w:rPr>
          <w:lang w:val="en-US"/>
        </w:rPr>
        <w:t xml:space="preserve"> </w:t>
      </w:r>
      <w:r w:rsidR="00DE05F8" w:rsidRPr="001823D5">
        <w:rPr>
          <w:lang w:val="en-US"/>
        </w:rPr>
        <w:t>A</w:t>
      </w:r>
      <w:r w:rsidR="008452C0" w:rsidRPr="001823D5">
        <w:rPr>
          <w:lang w:val="en-US"/>
        </w:rPr>
        <w:t xml:space="preserve">dvanced </w:t>
      </w:r>
      <w:r w:rsidR="007D175B" w:rsidRPr="001823D5">
        <w:rPr>
          <w:lang w:val="en-US"/>
        </w:rPr>
        <w:t xml:space="preserve">functional class, higher tricuspid regurgitation (TR) grade, increased </w:t>
      </w:r>
      <w:r w:rsidR="00DE05F8" w:rsidRPr="001823D5">
        <w:rPr>
          <w:lang w:val="en-US"/>
        </w:rPr>
        <w:t>inf</w:t>
      </w:r>
      <w:r w:rsidR="007D175B" w:rsidRPr="001823D5">
        <w:rPr>
          <w:lang w:val="en-US"/>
        </w:rPr>
        <w:t xml:space="preserve">erior vena cava (IVC) diameter, and the presence of pericardial effusion were significantly associated with poorer survival (p &lt; 0.05). Furthermore, higher </w:t>
      </w:r>
      <w:r w:rsidR="004F193B" w:rsidRPr="001823D5">
        <w:rPr>
          <w:lang w:val="en-US"/>
        </w:rPr>
        <w:t>MRSs</w:t>
      </w:r>
      <w:r w:rsidR="007D175B" w:rsidRPr="001823D5">
        <w:rPr>
          <w:lang w:val="en-US"/>
        </w:rPr>
        <w:t xml:space="preserve"> </w:t>
      </w:r>
      <w:r w:rsidR="004F193B" w:rsidRPr="001823D5">
        <w:rPr>
          <w:lang w:val="en-US"/>
        </w:rPr>
        <w:t xml:space="preserve">with </w:t>
      </w:r>
      <w:r w:rsidR="007D175B" w:rsidRPr="001823D5">
        <w:rPr>
          <w:lang w:val="en-US"/>
        </w:rPr>
        <w:t>REVEAL, REVEAL 2.0, COMPERA</w:t>
      </w:r>
      <w:r w:rsidR="00AD60A7" w:rsidRPr="001823D5">
        <w:rPr>
          <w:lang w:val="en-US"/>
        </w:rPr>
        <w:t xml:space="preserve"> and </w:t>
      </w:r>
      <w:r w:rsidR="00547B47" w:rsidRPr="001823D5">
        <w:rPr>
          <w:lang w:val="en-US"/>
        </w:rPr>
        <w:t>SPAHR,</w:t>
      </w:r>
      <w:r w:rsidR="007D175B" w:rsidRPr="001823D5">
        <w:rPr>
          <w:lang w:val="en-US"/>
        </w:rPr>
        <w:t xml:space="preserve"> and </w:t>
      </w:r>
      <w:r w:rsidR="00AD60A7" w:rsidRPr="001823D5">
        <w:rPr>
          <w:lang w:val="en-US"/>
        </w:rPr>
        <w:t>uric acid levels and log-transformed BNP</w:t>
      </w:r>
      <w:r w:rsidR="007D175B" w:rsidRPr="001823D5">
        <w:rPr>
          <w:lang w:val="en-US"/>
        </w:rPr>
        <w:t xml:space="preserve"> were </w:t>
      </w:r>
      <w:r w:rsidR="008452C0" w:rsidRPr="001823D5">
        <w:rPr>
          <w:lang w:val="en-US"/>
        </w:rPr>
        <w:t xml:space="preserve">significantly </w:t>
      </w:r>
      <w:r w:rsidR="007D175B" w:rsidRPr="001823D5">
        <w:rPr>
          <w:lang w:val="en-US"/>
        </w:rPr>
        <w:t xml:space="preserve">associated with an unfavorable prognosis. </w:t>
      </w:r>
      <w:r w:rsidRPr="001823D5">
        <w:rPr>
          <w:lang w:val="en-US"/>
        </w:rPr>
        <w:t xml:space="preserve">Higher RAP, </w:t>
      </w:r>
      <w:r w:rsidR="00A9737A" w:rsidRPr="001823D5">
        <w:rPr>
          <w:lang w:val="en-US"/>
        </w:rPr>
        <w:t>RVEDP, PCWP</w:t>
      </w:r>
      <w:r w:rsidRPr="001823D5">
        <w:rPr>
          <w:lang w:val="en-US"/>
        </w:rPr>
        <w:t xml:space="preserve"> and LVEDP</w:t>
      </w:r>
      <w:r w:rsidR="00DE05F8" w:rsidRPr="001823D5">
        <w:rPr>
          <w:lang w:val="en-US"/>
        </w:rPr>
        <w:t xml:space="preserve">, but not other invasive measures, </w:t>
      </w:r>
      <w:r w:rsidRPr="001823D5">
        <w:rPr>
          <w:lang w:val="en-US"/>
        </w:rPr>
        <w:t>were associate</w:t>
      </w:r>
      <w:r w:rsidR="00C82543" w:rsidRPr="001823D5">
        <w:rPr>
          <w:lang w:val="en-US"/>
        </w:rPr>
        <w:t>d with increased mortality (</w:t>
      </w:r>
      <w:r w:rsidRPr="001823D5">
        <w:rPr>
          <w:lang w:val="en-US"/>
        </w:rPr>
        <w:t>p &lt; 0.001</w:t>
      </w:r>
      <w:r w:rsidR="00C82543" w:rsidRPr="001823D5">
        <w:rPr>
          <w:lang w:val="en-US"/>
        </w:rPr>
        <w:t xml:space="preserve"> for all</w:t>
      </w:r>
      <w:r w:rsidRPr="001823D5">
        <w:rPr>
          <w:lang w:val="en-US"/>
        </w:rPr>
        <w:t xml:space="preserve">). </w:t>
      </w:r>
      <w:r w:rsidR="00AD60A7" w:rsidRPr="001823D5">
        <w:rPr>
          <w:lang w:val="en-US"/>
        </w:rPr>
        <w:t xml:space="preserve">Pulmonary </w:t>
      </w:r>
      <w:r w:rsidR="00547B47" w:rsidRPr="001823D5">
        <w:rPr>
          <w:lang w:val="en-US"/>
        </w:rPr>
        <w:t>endarterectomy</w:t>
      </w:r>
      <w:r w:rsidR="00AD60A7" w:rsidRPr="001823D5">
        <w:rPr>
          <w:lang w:val="en-US"/>
        </w:rPr>
        <w:t xml:space="preserve"> versus medical treatment / balloon pulmonary angioplasty (p=0.001)</w:t>
      </w:r>
      <w:r w:rsidR="00CA14D4" w:rsidRPr="001823D5">
        <w:rPr>
          <w:lang w:val="en-US"/>
        </w:rPr>
        <w:t xml:space="preserve">, </w:t>
      </w:r>
      <w:r w:rsidR="00A9737A" w:rsidRPr="001823D5">
        <w:rPr>
          <w:lang w:val="en-US"/>
        </w:rPr>
        <w:t xml:space="preserve">six-minute-walk distance (p=0.002), </w:t>
      </w:r>
      <w:r w:rsidR="00AD60A7" w:rsidRPr="001823D5">
        <w:rPr>
          <w:lang w:val="en-US"/>
        </w:rPr>
        <w:t xml:space="preserve">FPHN low-risk score </w:t>
      </w:r>
      <w:r w:rsidR="00CA14D4" w:rsidRPr="001823D5">
        <w:rPr>
          <w:lang w:val="en-US"/>
        </w:rPr>
        <w:t>(p=0.028) and increase in TAPSE/PASP ratio at FU (p&lt;</w:t>
      </w:r>
      <w:r w:rsidR="00A9737A" w:rsidRPr="001823D5">
        <w:rPr>
          <w:lang w:val="en-US"/>
        </w:rPr>
        <w:t xml:space="preserve"> 0.001)</w:t>
      </w:r>
      <w:r w:rsidR="00AD60A7" w:rsidRPr="001823D5">
        <w:rPr>
          <w:lang w:val="en-US"/>
        </w:rPr>
        <w:t xml:space="preserve"> were associated with </w:t>
      </w:r>
      <w:r w:rsidR="00AC6DEF" w:rsidRPr="001823D5">
        <w:rPr>
          <w:lang w:val="en-US"/>
        </w:rPr>
        <w:t xml:space="preserve">a </w:t>
      </w:r>
      <w:r w:rsidR="00AD60A7" w:rsidRPr="001823D5">
        <w:rPr>
          <w:lang w:val="en-US"/>
        </w:rPr>
        <w:t xml:space="preserve">decreased mortality. </w:t>
      </w:r>
      <w:r w:rsidRPr="001823D5">
        <w:rPr>
          <w:lang w:val="en-US"/>
        </w:rPr>
        <w:t>Kaplan-Meier survival curves further demonstrated that these associated factors effectively stratified patients into distinct risk categories</w:t>
      </w:r>
      <w:r w:rsidR="00DF4CA2" w:rsidRPr="001823D5">
        <w:rPr>
          <w:lang w:val="en-US"/>
        </w:rPr>
        <w:t xml:space="preserve"> (log rank p values between 0.002 and 0.04)</w:t>
      </w:r>
      <w:r w:rsidRPr="001823D5">
        <w:rPr>
          <w:lang w:val="en-US"/>
        </w:rPr>
        <w:t>.</w:t>
      </w:r>
    </w:p>
    <w:p w:rsidR="00C80BE2" w:rsidRPr="001823D5" w:rsidRDefault="00C80BE2" w:rsidP="00EB24F0">
      <w:pPr>
        <w:pStyle w:val="NormalWeb"/>
        <w:spacing w:line="360" w:lineRule="auto"/>
        <w:rPr>
          <w:lang w:val="en-US"/>
        </w:rPr>
      </w:pPr>
      <w:r w:rsidRPr="00547B47">
        <w:rPr>
          <w:b/>
          <w:lang w:val="en-US"/>
        </w:rPr>
        <w:t>Conclusion:</w:t>
      </w:r>
      <w:r w:rsidRPr="001823D5">
        <w:rPr>
          <w:lang w:val="en-US"/>
        </w:rPr>
        <w:t xml:space="preserve"> In our CTEPH cohort, survival was significantly associated with a broad range of </w:t>
      </w:r>
      <w:r w:rsidR="00AD60A7" w:rsidRPr="001823D5">
        <w:rPr>
          <w:lang w:val="en-US"/>
        </w:rPr>
        <w:t xml:space="preserve">clinical, echocardiographic and </w:t>
      </w:r>
      <w:r w:rsidRPr="001823D5">
        <w:rPr>
          <w:lang w:val="en-US"/>
        </w:rPr>
        <w:t xml:space="preserve">hemodynamic markers. The strong association </w:t>
      </w:r>
      <w:r w:rsidR="00547B47" w:rsidRPr="001823D5">
        <w:rPr>
          <w:lang w:val="en-US"/>
        </w:rPr>
        <w:t>of left</w:t>
      </w:r>
      <w:r w:rsidR="00A9737A" w:rsidRPr="001823D5">
        <w:rPr>
          <w:lang w:val="en-US"/>
        </w:rPr>
        <w:t xml:space="preserve"> ventricle </w:t>
      </w:r>
      <w:r w:rsidRPr="001823D5">
        <w:rPr>
          <w:lang w:val="en-US"/>
        </w:rPr>
        <w:t xml:space="preserve">filling pressures with mortality, alongside right-sided </w:t>
      </w:r>
      <w:r w:rsidR="00A967FF" w:rsidRPr="001823D5">
        <w:rPr>
          <w:lang w:val="en-US"/>
        </w:rPr>
        <w:t xml:space="preserve">measures </w:t>
      </w:r>
      <w:r w:rsidRPr="001823D5">
        <w:rPr>
          <w:lang w:val="en-US"/>
        </w:rPr>
        <w:t xml:space="preserve">and clinical indicators, suggests that these parameters </w:t>
      </w:r>
      <w:r w:rsidR="00AD60A7" w:rsidRPr="001823D5">
        <w:rPr>
          <w:lang w:val="en-US"/>
        </w:rPr>
        <w:t xml:space="preserve">should </w:t>
      </w:r>
      <w:r w:rsidR="00D12D8B" w:rsidRPr="001823D5">
        <w:rPr>
          <w:lang w:val="en-US"/>
        </w:rPr>
        <w:t xml:space="preserve">also </w:t>
      </w:r>
      <w:r w:rsidR="00AD60A7" w:rsidRPr="001823D5">
        <w:rPr>
          <w:lang w:val="en-US"/>
        </w:rPr>
        <w:t>be taken into consideration for</w:t>
      </w:r>
      <w:r w:rsidRPr="001823D5">
        <w:rPr>
          <w:lang w:val="en-US"/>
        </w:rPr>
        <w:t xml:space="preserve"> a comprehensive assessment </w:t>
      </w:r>
      <w:r w:rsidR="00A967FF" w:rsidRPr="001823D5">
        <w:rPr>
          <w:lang w:val="en-US"/>
        </w:rPr>
        <w:t>in</w:t>
      </w:r>
      <w:r w:rsidRPr="001823D5">
        <w:rPr>
          <w:lang w:val="en-US"/>
        </w:rPr>
        <w:t xml:space="preserve"> </w:t>
      </w:r>
      <w:r w:rsidR="00A9737A" w:rsidRPr="001823D5">
        <w:rPr>
          <w:lang w:val="en-US"/>
        </w:rPr>
        <w:t>risk prediction</w:t>
      </w:r>
      <w:r w:rsidRPr="001823D5">
        <w:rPr>
          <w:lang w:val="en-US"/>
        </w:rPr>
        <w:t>.</w:t>
      </w:r>
    </w:p>
    <w:p w:rsidR="0027652C" w:rsidRPr="001823D5" w:rsidRDefault="0027652C" w:rsidP="00EB24F0">
      <w:pPr>
        <w:pStyle w:val="NormalWeb"/>
        <w:spacing w:line="360" w:lineRule="auto"/>
        <w:rPr>
          <w:lang w:val="en-US"/>
        </w:rPr>
      </w:pPr>
      <w:r w:rsidRPr="001823D5">
        <w:rPr>
          <w:noProof/>
          <w:lang w:val="en-US"/>
        </w:rPr>
        <w:drawing>
          <wp:inline distT="0" distB="0" distL="0" distR="0" wp14:anchorId="08E28E87" wp14:editId="4FF32AF4">
            <wp:extent cx="5756910" cy="3347720"/>
            <wp:effectExtent l="0" t="0" r="0" b="5080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BE2" w:rsidRPr="001823D5" w:rsidRDefault="008452C0" w:rsidP="00EB24F0">
      <w:pPr>
        <w:spacing w:line="360" w:lineRule="auto"/>
        <w:rPr>
          <w:rFonts w:ascii="Times New Roman" w:hAnsi="Times New Roman" w:cs="Times New Roman"/>
          <w:lang w:val="en-US"/>
        </w:rPr>
      </w:pPr>
      <w:r w:rsidRPr="001823D5">
        <w:rPr>
          <w:rFonts w:ascii="Times New Roman" w:hAnsi="Times New Roman" w:cs="Times New Roman"/>
          <w:noProof/>
          <w:lang w:val="en-US" w:eastAsia="tr-TR"/>
        </w:rPr>
        <w:lastRenderedPageBreak/>
        <w:drawing>
          <wp:inline distT="0" distB="0" distL="0" distR="0" wp14:anchorId="04010DAB" wp14:editId="377616F0">
            <wp:extent cx="5756910" cy="4345305"/>
            <wp:effectExtent l="0" t="0" r="0" b="0"/>
            <wp:docPr id="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670200" name="Resim 40867020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44"/>
                    <a:stretch/>
                  </pic:blipFill>
                  <pic:spPr bwMode="auto">
                    <a:xfrm>
                      <a:off x="0" y="0"/>
                      <a:ext cx="5756910" cy="4345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2F33" w:rsidRPr="001823D5" w:rsidRDefault="00662F33" w:rsidP="00EB24F0">
      <w:pPr>
        <w:spacing w:line="360" w:lineRule="auto"/>
        <w:rPr>
          <w:rFonts w:ascii="Times New Roman" w:hAnsi="Times New Roman" w:cs="Times New Roman"/>
          <w:lang w:val="en-US"/>
        </w:rPr>
      </w:pPr>
    </w:p>
    <w:p w:rsidR="00AC6DEF" w:rsidRPr="001823D5" w:rsidRDefault="00AC6DEF" w:rsidP="00EB24F0">
      <w:pPr>
        <w:spacing w:line="360" w:lineRule="auto"/>
        <w:rPr>
          <w:rFonts w:ascii="Times New Roman" w:hAnsi="Times New Roman" w:cs="Times New Roman"/>
          <w:lang w:val="en-US"/>
        </w:rPr>
      </w:pPr>
    </w:p>
    <w:sectPr w:rsidR="00AC6DEF" w:rsidRPr="001823D5" w:rsidSect="00E6594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D0A"/>
    <w:rsid w:val="000856CB"/>
    <w:rsid w:val="00110690"/>
    <w:rsid w:val="0014038C"/>
    <w:rsid w:val="00163A78"/>
    <w:rsid w:val="0016703F"/>
    <w:rsid w:val="001823D5"/>
    <w:rsid w:val="0019093E"/>
    <w:rsid w:val="001C1313"/>
    <w:rsid w:val="001F4ED6"/>
    <w:rsid w:val="002111DA"/>
    <w:rsid w:val="0027652C"/>
    <w:rsid w:val="00462E74"/>
    <w:rsid w:val="004A0C28"/>
    <w:rsid w:val="004F193B"/>
    <w:rsid w:val="0053251F"/>
    <w:rsid w:val="00547B47"/>
    <w:rsid w:val="005720C0"/>
    <w:rsid w:val="005846BE"/>
    <w:rsid w:val="00641CA9"/>
    <w:rsid w:val="00662F33"/>
    <w:rsid w:val="00792F8C"/>
    <w:rsid w:val="007D175B"/>
    <w:rsid w:val="007F6088"/>
    <w:rsid w:val="008022EF"/>
    <w:rsid w:val="0083428E"/>
    <w:rsid w:val="008452C0"/>
    <w:rsid w:val="008571A5"/>
    <w:rsid w:val="008A4352"/>
    <w:rsid w:val="008D214B"/>
    <w:rsid w:val="008E33AB"/>
    <w:rsid w:val="00922414"/>
    <w:rsid w:val="0094643D"/>
    <w:rsid w:val="009E75E7"/>
    <w:rsid w:val="00A36728"/>
    <w:rsid w:val="00A967FF"/>
    <w:rsid w:val="00A9737A"/>
    <w:rsid w:val="00AB3EFB"/>
    <w:rsid w:val="00AC6DEF"/>
    <w:rsid w:val="00AD60A7"/>
    <w:rsid w:val="00C43916"/>
    <w:rsid w:val="00C80BE2"/>
    <w:rsid w:val="00C82543"/>
    <w:rsid w:val="00CA14D4"/>
    <w:rsid w:val="00CD2595"/>
    <w:rsid w:val="00D053AB"/>
    <w:rsid w:val="00D12D8B"/>
    <w:rsid w:val="00D2108B"/>
    <w:rsid w:val="00D47395"/>
    <w:rsid w:val="00DA6908"/>
    <w:rsid w:val="00DE05F8"/>
    <w:rsid w:val="00DF4CA2"/>
    <w:rsid w:val="00E65948"/>
    <w:rsid w:val="00EB24F0"/>
    <w:rsid w:val="00F1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0075"/>
  <w15:chartTrackingRefBased/>
  <w15:docId w15:val="{D9637B14-8C0F-4043-B12A-CECDBBE5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13D0A"/>
    <w:pPr>
      <w:spacing w:before="100" w:beforeAutospacing="1" w:after="180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13D0A"/>
    <w:rPr>
      <w:rFonts w:ascii="Times New Roman" w:eastAsia="Times New Roman" w:hAnsi="Times New Roman" w:cs="Times New Roman"/>
      <w:b/>
      <w:bCs/>
      <w:color w:val="3E6DA9"/>
      <w:sz w:val="31"/>
      <w:szCs w:val="31"/>
      <w:lang w:eastAsia="tr-TR"/>
    </w:rPr>
  </w:style>
  <w:style w:type="paragraph" w:styleId="NormalWeb">
    <w:name w:val="Normal (Web)"/>
    <w:basedOn w:val="Normal"/>
    <w:uiPriority w:val="99"/>
    <w:unhideWhenUsed/>
    <w:rsid w:val="008D21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75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28</cp:revision>
  <dcterms:created xsi:type="dcterms:W3CDTF">2026-03-15T00:21:00Z</dcterms:created>
  <dcterms:modified xsi:type="dcterms:W3CDTF">2026-03-15T09:02:00Z</dcterms:modified>
</cp:coreProperties>
</file>