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0D030" w14:textId="22AC929B" w:rsidR="00610637" w:rsidRPr="00610637" w:rsidRDefault="00610637" w:rsidP="00610637">
      <w:pPr>
        <w:rPr>
          <w:rFonts w:asciiTheme="majorHAnsi" w:eastAsiaTheme="majorEastAsia" w:hAnsiTheme="majorHAnsi" w:cstheme="majorBidi"/>
          <w:color w:val="0F4761" w:themeColor="accent1" w:themeShade="BF"/>
          <w:sz w:val="36"/>
          <w:szCs w:val="36"/>
        </w:rPr>
      </w:pPr>
      <w:r w:rsidRPr="00610637">
        <w:rPr>
          <w:rFonts w:asciiTheme="majorHAnsi" w:eastAsiaTheme="majorEastAsia" w:hAnsiTheme="majorHAnsi" w:cstheme="majorBidi"/>
          <w:color w:val="0F4761" w:themeColor="accent1" w:themeShade="BF"/>
          <w:sz w:val="36"/>
          <w:szCs w:val="36"/>
        </w:rPr>
        <w:t>Risk Factors, Hemodynamic Trends, and Outcomes of VA</w:t>
      </w:r>
      <w:r w:rsidRPr="00610637">
        <w:rPr>
          <w:rFonts w:asciiTheme="majorHAnsi" w:eastAsiaTheme="majorEastAsia" w:hAnsiTheme="majorHAnsi" w:cstheme="majorBidi"/>
          <w:color w:val="0F4761" w:themeColor="accent1" w:themeShade="BF"/>
          <w:sz w:val="36"/>
          <w:szCs w:val="36"/>
        </w:rPr>
        <w:noBreakHyphen/>
        <w:t xml:space="preserve">ECMO After Pulmonary Endarterectomy for CTEPH from </w:t>
      </w:r>
      <w:r w:rsidR="00BA31E0">
        <w:rPr>
          <w:rFonts w:asciiTheme="majorHAnsi" w:eastAsiaTheme="majorEastAsia" w:hAnsiTheme="majorHAnsi" w:cstheme="majorBidi"/>
          <w:color w:val="0F4761" w:themeColor="accent1" w:themeShade="BF"/>
          <w:sz w:val="36"/>
          <w:szCs w:val="36"/>
        </w:rPr>
        <w:t xml:space="preserve">the </w:t>
      </w:r>
      <w:r w:rsidRPr="00610637">
        <w:rPr>
          <w:rFonts w:asciiTheme="majorHAnsi" w:eastAsiaTheme="majorEastAsia" w:hAnsiTheme="majorHAnsi" w:cstheme="majorBidi"/>
          <w:color w:val="0F4761" w:themeColor="accent1" w:themeShade="BF"/>
          <w:sz w:val="36"/>
          <w:szCs w:val="36"/>
        </w:rPr>
        <w:t xml:space="preserve">UK </w:t>
      </w:r>
      <w:r w:rsidR="00BA31E0">
        <w:rPr>
          <w:rFonts w:asciiTheme="majorHAnsi" w:eastAsiaTheme="majorEastAsia" w:hAnsiTheme="majorHAnsi" w:cstheme="majorBidi"/>
          <w:color w:val="0F4761" w:themeColor="accent1" w:themeShade="BF"/>
          <w:sz w:val="36"/>
          <w:szCs w:val="36"/>
        </w:rPr>
        <w:t>N</w:t>
      </w:r>
      <w:r w:rsidRPr="00610637">
        <w:rPr>
          <w:rFonts w:asciiTheme="majorHAnsi" w:eastAsiaTheme="majorEastAsia" w:hAnsiTheme="majorHAnsi" w:cstheme="majorBidi"/>
          <w:color w:val="0F4761" w:themeColor="accent1" w:themeShade="BF"/>
          <w:sz w:val="36"/>
          <w:szCs w:val="36"/>
        </w:rPr>
        <w:t>ational centre</w:t>
      </w:r>
    </w:p>
    <w:p w14:paraId="39C9C24E" w14:textId="4A8E1DFF" w:rsidR="00577E4E" w:rsidRPr="00577E4E" w:rsidRDefault="00577E4E" w:rsidP="00577E4E">
      <w:pPr>
        <w:rPr>
          <w:rFonts w:ascii="Arial" w:hAnsi="Arial" w:cs="Arial"/>
          <w:sz w:val="20"/>
          <w:szCs w:val="20"/>
        </w:rPr>
      </w:pPr>
      <w:r w:rsidRPr="00DC2640">
        <w:rPr>
          <w:b/>
          <w:bCs/>
          <w:sz w:val="20"/>
          <w:szCs w:val="20"/>
        </w:rPr>
        <w:t>MATONE, Tommaso</w:t>
      </w:r>
      <w:r w:rsidRPr="00577E4E">
        <w:rPr>
          <w:sz w:val="20"/>
          <w:szCs w:val="20"/>
        </w:rPr>
        <w:t xml:space="preserve"> MD</w:t>
      </w:r>
      <w:r w:rsidRPr="00577E4E">
        <w:rPr>
          <w:rFonts w:ascii="Arial" w:hAnsi="Arial" w:cs="Arial"/>
          <w:sz w:val="20"/>
          <w:szCs w:val="20"/>
        </w:rPr>
        <w:t>ᵃ</w:t>
      </w:r>
      <w:r w:rsidRPr="00577E4E">
        <w:rPr>
          <w:sz w:val="20"/>
          <w:szCs w:val="20"/>
        </w:rPr>
        <w:t>, RIPA, Claudio MD</w:t>
      </w:r>
      <w:r w:rsidRPr="00577E4E">
        <w:rPr>
          <w:rFonts w:ascii="Arial" w:hAnsi="Arial" w:cs="Arial"/>
          <w:sz w:val="20"/>
          <w:szCs w:val="20"/>
        </w:rPr>
        <w:t>ᵃ</w:t>
      </w:r>
      <w:r w:rsidRPr="00577E4E">
        <w:rPr>
          <w:sz w:val="20"/>
          <w:szCs w:val="20"/>
        </w:rPr>
        <w:t>, RIZWAN, Komal MD</w:t>
      </w:r>
      <w:r w:rsidRPr="00577E4E">
        <w:rPr>
          <w:rFonts w:ascii="Arial" w:hAnsi="Arial" w:cs="Arial"/>
          <w:sz w:val="20"/>
          <w:szCs w:val="20"/>
        </w:rPr>
        <w:t>ᵃ</w:t>
      </w:r>
      <w:r w:rsidRPr="00577E4E">
        <w:rPr>
          <w:sz w:val="20"/>
          <w:szCs w:val="20"/>
        </w:rPr>
        <w:t>, HOSSAIN, Susmita MD</w:t>
      </w:r>
      <w:r w:rsidRPr="00577E4E">
        <w:rPr>
          <w:rFonts w:ascii="Arial" w:hAnsi="Arial" w:cs="Arial"/>
          <w:sz w:val="20"/>
          <w:szCs w:val="20"/>
        </w:rPr>
        <w:t>ᵃ</w:t>
      </w:r>
      <w:r w:rsidRPr="00577E4E">
        <w:rPr>
          <w:sz w:val="20"/>
          <w:szCs w:val="20"/>
        </w:rPr>
        <w:t>, BADINI, Marta MD</w:t>
      </w:r>
      <w:r w:rsidRPr="00577E4E">
        <w:rPr>
          <w:rFonts w:ascii="Arial" w:hAnsi="Arial" w:cs="Arial"/>
          <w:sz w:val="20"/>
          <w:szCs w:val="20"/>
        </w:rPr>
        <w:t>ᵃ</w:t>
      </w:r>
      <w:r w:rsidRPr="00577E4E">
        <w:rPr>
          <w:sz w:val="20"/>
          <w:szCs w:val="20"/>
        </w:rPr>
        <w:t>, QUAGGIOTTI, Luisa MD</w:t>
      </w:r>
      <w:r w:rsidRPr="00577E4E">
        <w:rPr>
          <w:rFonts w:ascii="Arial" w:hAnsi="Arial" w:cs="Arial"/>
          <w:sz w:val="20"/>
          <w:szCs w:val="20"/>
        </w:rPr>
        <w:t>ᵃ</w:t>
      </w:r>
      <w:r w:rsidRPr="00577E4E">
        <w:rPr>
          <w:sz w:val="20"/>
          <w:szCs w:val="20"/>
        </w:rPr>
        <w:t>, CHOO Ng, FRCS (</w:t>
      </w:r>
      <w:proofErr w:type="spellStart"/>
      <w:r w:rsidRPr="00577E4E">
        <w:rPr>
          <w:sz w:val="20"/>
          <w:szCs w:val="20"/>
        </w:rPr>
        <w:t>CTh</w:t>
      </w:r>
      <w:proofErr w:type="spellEnd"/>
      <w:r w:rsidRPr="00577E4E">
        <w:rPr>
          <w:sz w:val="20"/>
          <w:szCs w:val="20"/>
        </w:rPr>
        <w:t>)</w:t>
      </w:r>
      <w:r w:rsidRPr="00577E4E">
        <w:rPr>
          <w:rFonts w:ascii="Arial" w:hAnsi="Arial" w:cs="Arial"/>
          <w:sz w:val="20"/>
          <w:szCs w:val="20"/>
        </w:rPr>
        <w:t>ᵇ</w:t>
      </w:r>
      <w:r w:rsidRPr="00577E4E">
        <w:rPr>
          <w:sz w:val="20"/>
          <w:szCs w:val="20"/>
        </w:rPr>
        <w:t>, JENKINS, David, FRCS (</w:t>
      </w:r>
      <w:proofErr w:type="spellStart"/>
      <w:r w:rsidRPr="00577E4E">
        <w:rPr>
          <w:sz w:val="20"/>
          <w:szCs w:val="20"/>
        </w:rPr>
        <w:t>CTh</w:t>
      </w:r>
      <w:proofErr w:type="spellEnd"/>
      <w:r w:rsidRPr="00577E4E">
        <w:rPr>
          <w:sz w:val="20"/>
          <w:szCs w:val="20"/>
        </w:rPr>
        <w:t>)</w:t>
      </w:r>
      <w:r w:rsidRPr="00577E4E">
        <w:rPr>
          <w:rFonts w:ascii="Arial" w:hAnsi="Arial" w:cs="Arial"/>
          <w:sz w:val="20"/>
          <w:szCs w:val="20"/>
        </w:rPr>
        <w:t>ᵇ</w:t>
      </w:r>
      <w:r w:rsidRPr="00577E4E">
        <w:rPr>
          <w:sz w:val="20"/>
          <w:szCs w:val="20"/>
        </w:rPr>
        <w:t>, RUBINO, Antonio</w:t>
      </w:r>
      <w:r w:rsidR="005518C4">
        <w:rPr>
          <w:sz w:val="20"/>
          <w:szCs w:val="20"/>
        </w:rPr>
        <w:t>,</w:t>
      </w:r>
      <w:r w:rsidR="00DC2640">
        <w:rPr>
          <w:sz w:val="20"/>
          <w:szCs w:val="20"/>
        </w:rPr>
        <w:t xml:space="preserve"> </w:t>
      </w:r>
      <w:r w:rsidR="00B60304">
        <w:rPr>
          <w:sz w:val="20"/>
          <w:szCs w:val="20"/>
        </w:rPr>
        <w:t>MD</w:t>
      </w:r>
      <w:r w:rsidRPr="00577E4E">
        <w:rPr>
          <w:rFonts w:ascii="Arial" w:hAnsi="Arial" w:cs="Arial"/>
          <w:sz w:val="20"/>
          <w:szCs w:val="20"/>
        </w:rPr>
        <w:t>ᵃ</w:t>
      </w:r>
    </w:p>
    <w:p w14:paraId="25E12944" w14:textId="3E192027" w:rsidR="00577E4E" w:rsidRPr="00577E4E" w:rsidRDefault="00577E4E" w:rsidP="00577E4E">
      <w:pPr>
        <w:rPr>
          <w:sz w:val="20"/>
          <w:szCs w:val="20"/>
        </w:rPr>
      </w:pPr>
      <w:r w:rsidRPr="00B5486E">
        <w:rPr>
          <w:sz w:val="20"/>
          <w:szCs w:val="20"/>
        </w:rPr>
        <w:t>a) Department of Anaesthesia and Intensive Care, Royal Papworth Hospital, Cambridg</w:t>
      </w:r>
      <w:r w:rsidRPr="00577E4E">
        <w:rPr>
          <w:sz w:val="20"/>
          <w:szCs w:val="20"/>
        </w:rPr>
        <w:t xml:space="preserve">e, </w:t>
      </w:r>
      <w:r w:rsidRPr="00B5486E">
        <w:rPr>
          <w:sz w:val="20"/>
          <w:szCs w:val="20"/>
        </w:rPr>
        <w:t xml:space="preserve">b) Department of Cardiothoracic Surgery, Royal Papworth Hospital, Cambridge </w:t>
      </w:r>
    </w:p>
    <w:p w14:paraId="49F8ECB2" w14:textId="77777777" w:rsidR="00577E4E" w:rsidRPr="00287292" w:rsidRDefault="00577E4E" w:rsidP="00577E4E">
      <w:pPr>
        <w:jc w:val="both"/>
      </w:pPr>
      <w:r w:rsidRPr="00287292">
        <w:rPr>
          <w:b/>
          <w:bCs/>
        </w:rPr>
        <w:t>Background</w:t>
      </w:r>
      <w:r w:rsidRPr="00287292">
        <w:t xml:space="preserve">: Pulmonary endarterectomy (PEA) </w:t>
      </w:r>
      <w:r>
        <w:t>is the guideline recommended</w:t>
      </w:r>
      <w:r w:rsidRPr="00287292">
        <w:t xml:space="preserve"> treatment for </w:t>
      </w:r>
      <w:r>
        <w:t>operable C</w:t>
      </w:r>
      <w:r w:rsidRPr="00287292">
        <w:t xml:space="preserve">hronic </w:t>
      </w:r>
      <w:r>
        <w:t>t</w:t>
      </w:r>
      <w:r w:rsidRPr="00287292">
        <w:t xml:space="preserve">hromboembolic </w:t>
      </w:r>
      <w:r>
        <w:t>P</w:t>
      </w:r>
      <w:r w:rsidRPr="00287292">
        <w:t xml:space="preserve">ulmonary </w:t>
      </w:r>
      <w:r>
        <w:t>H</w:t>
      </w:r>
      <w:r w:rsidRPr="00287292">
        <w:t xml:space="preserve">ypertension (CTEPH), </w:t>
      </w:r>
      <w:r>
        <w:t xml:space="preserve">with reproducible results and low mortality in expert centres. However, </w:t>
      </w:r>
      <w:r w:rsidRPr="00287292">
        <w:t xml:space="preserve">postoperative mortality increases in the presence of complications. </w:t>
      </w:r>
      <w:r>
        <w:t>E</w:t>
      </w:r>
      <w:r w:rsidRPr="00287292">
        <w:t>xtracorporeal membrane oxygenation (ECMO) is increasingly adopted to support</w:t>
      </w:r>
      <w:r>
        <w:t xml:space="preserve"> patients with the most severe complications.</w:t>
      </w:r>
    </w:p>
    <w:p w14:paraId="6D9D3E14" w14:textId="6FFCB1BB" w:rsidR="00577E4E" w:rsidRPr="00287292" w:rsidRDefault="00577E4E" w:rsidP="00577E4E">
      <w:pPr>
        <w:jc w:val="both"/>
      </w:pPr>
      <w:r w:rsidRPr="00287292">
        <w:rPr>
          <w:b/>
          <w:bCs/>
        </w:rPr>
        <w:t>Aim</w:t>
      </w:r>
      <w:r w:rsidRPr="00287292">
        <w:t xml:space="preserve">: To </w:t>
      </w:r>
      <w:r>
        <w:t>identify risk factor</w:t>
      </w:r>
      <w:r w:rsidR="00FE355D">
        <w:t xml:space="preserve">, </w:t>
      </w:r>
      <w:r w:rsidR="00FE355D" w:rsidRPr="00287292">
        <w:t xml:space="preserve">hemodynamic </w:t>
      </w:r>
      <w:r w:rsidR="00FE355D">
        <w:t>trends</w:t>
      </w:r>
      <w:r w:rsidR="00FE355D" w:rsidRPr="00287292">
        <w:t xml:space="preserve"> </w:t>
      </w:r>
      <w:r w:rsidR="00FE355D">
        <w:t xml:space="preserve">and </w:t>
      </w:r>
      <w:r w:rsidRPr="00287292">
        <w:t>complication patterns</w:t>
      </w:r>
      <w:r w:rsidR="00FE355D">
        <w:t xml:space="preserve"> </w:t>
      </w:r>
      <w:r w:rsidRPr="00287292">
        <w:t>in patients requiring postoperative VA</w:t>
      </w:r>
      <w:r w:rsidRPr="00287292">
        <w:rPr>
          <w:rFonts w:ascii="Cambria Math" w:hAnsi="Cambria Math" w:cs="Cambria Math"/>
        </w:rPr>
        <w:t>‑</w:t>
      </w:r>
      <w:r w:rsidRPr="00287292">
        <w:t>ECMO after PEA.</w:t>
      </w:r>
    </w:p>
    <w:p w14:paraId="4463882A" w14:textId="35BA0E0D" w:rsidR="00577E4E" w:rsidRPr="00F30FB8" w:rsidRDefault="00577E4E" w:rsidP="00577E4E">
      <w:pPr>
        <w:jc w:val="both"/>
      </w:pPr>
      <w:r w:rsidRPr="00287292">
        <w:rPr>
          <w:b/>
          <w:bCs/>
        </w:rPr>
        <w:t>Methods</w:t>
      </w:r>
      <w:r w:rsidRPr="00287292">
        <w:t xml:space="preserve">: </w:t>
      </w:r>
      <w:r w:rsidRPr="00F30FB8">
        <w:t>A retrospective analysis was conducted over PEA patients supported with perioperative VA</w:t>
      </w:r>
      <w:r w:rsidRPr="00F30FB8">
        <w:rPr>
          <w:rFonts w:ascii="Cambria Math" w:hAnsi="Cambria Math" w:cs="Cambria Math"/>
        </w:rPr>
        <w:t>‑</w:t>
      </w:r>
      <w:r w:rsidRPr="00F30FB8">
        <w:t>ECMO at a single centre between January 2016 and February 2024 utilising data from electronic medical records, logs, ICU/anaesthesia charts</w:t>
      </w:r>
      <w:r w:rsidR="008A590E">
        <w:t xml:space="preserve"> and</w:t>
      </w:r>
      <w:r w:rsidRPr="00F30FB8">
        <w:t xml:space="preserve"> clinic follow-up.</w:t>
      </w:r>
    </w:p>
    <w:p w14:paraId="396B99AF" w14:textId="49077C77" w:rsidR="00577E4E" w:rsidRPr="00287292" w:rsidRDefault="00577E4E" w:rsidP="00577E4E">
      <w:pPr>
        <w:jc w:val="both"/>
      </w:pPr>
      <w:r w:rsidRPr="00287292">
        <w:rPr>
          <w:b/>
          <w:bCs/>
        </w:rPr>
        <w:t xml:space="preserve">Results: </w:t>
      </w:r>
      <w:r w:rsidRPr="00FA4A7F">
        <w:t>32 consecutive patients (14 Male, mean age 58.12 (17)</w:t>
      </w:r>
      <w:r w:rsidR="008A590E">
        <w:t xml:space="preserve">) </w:t>
      </w:r>
      <w:r w:rsidRPr="00FA4A7F">
        <w:t xml:space="preserve">were analysed. </w:t>
      </w:r>
      <w:r w:rsidRPr="00287292">
        <w:t>Higher WHO functional class at admission was associated with increased in</w:t>
      </w:r>
      <w:r w:rsidRPr="00287292">
        <w:rPr>
          <w:rFonts w:ascii="Cambria Math" w:hAnsi="Cambria Math" w:cs="Cambria Math"/>
        </w:rPr>
        <w:t>‑</w:t>
      </w:r>
      <w:r w:rsidRPr="00287292">
        <w:t>hospital mortality (p = 0.012). All non</w:t>
      </w:r>
      <w:r w:rsidRPr="00287292">
        <w:rPr>
          <w:rFonts w:ascii="Cambria Math" w:hAnsi="Cambria Math" w:cs="Cambria Math"/>
        </w:rPr>
        <w:t>‑</w:t>
      </w:r>
      <w:r w:rsidRPr="00287292">
        <w:t xml:space="preserve">survivors exhibited right ventricular impairment (14/14 deaths vs 10/18 survivors; p = 0.004), whereas baseline pulmonary vascular resistance (PVR) did not differ significantly between groups (720 [608–936] vs 668 [572–900] </w:t>
      </w:r>
      <w:proofErr w:type="spellStart"/>
      <w:r w:rsidRPr="00287292">
        <w:t>dyn·s·cm</w:t>
      </w:r>
      <w:proofErr w:type="spellEnd"/>
      <w:r w:rsidRPr="00287292">
        <w:rPr>
          <w:rFonts w:ascii="Cambria Math" w:hAnsi="Cambria Math" w:cs="Cambria Math"/>
        </w:rPr>
        <w:t>⁻</w:t>
      </w:r>
      <w:r w:rsidRPr="00287292">
        <w:t xml:space="preserve">⁵; p = 0.80). </w:t>
      </w:r>
      <w:r>
        <w:t xml:space="preserve">In hospital survival was 56% (18/32). </w:t>
      </w:r>
      <w:r w:rsidRPr="00287292">
        <w:t>A mixed</w:t>
      </w:r>
      <w:r w:rsidRPr="00287292">
        <w:rPr>
          <w:rFonts w:ascii="Cambria Math" w:hAnsi="Cambria Math" w:cs="Cambria Math"/>
        </w:rPr>
        <w:t>‑</w:t>
      </w:r>
      <w:r w:rsidRPr="00287292">
        <w:t>effects model demonstrated that higher post</w:t>
      </w:r>
      <w:r w:rsidRPr="00287292">
        <w:rPr>
          <w:rFonts w:ascii="Cambria Math" w:hAnsi="Cambria Math" w:cs="Cambria Math"/>
        </w:rPr>
        <w:t>‑</w:t>
      </w:r>
      <w:r w:rsidRPr="00287292">
        <w:t>cannulation vasoactive</w:t>
      </w:r>
      <w:r w:rsidRPr="00287292">
        <w:rPr>
          <w:rFonts w:ascii="Cambria Math" w:hAnsi="Cambria Math" w:cs="Cambria Math"/>
        </w:rPr>
        <w:t>‑</w:t>
      </w:r>
      <w:r w:rsidRPr="00287292">
        <w:t>inotropic score (VIS) correlated with in</w:t>
      </w:r>
      <w:r w:rsidRPr="00287292">
        <w:rPr>
          <w:rFonts w:ascii="Cambria Math" w:hAnsi="Cambria Math" w:cs="Cambria Math"/>
        </w:rPr>
        <w:t>‑</w:t>
      </w:r>
      <w:r w:rsidRPr="00287292">
        <w:t>hospital mortality (F = 7.59; p = 0.01), with each doubling of VIS at 2 hours increasing the odds of death 2.18</w:t>
      </w:r>
      <w:r w:rsidRPr="00287292">
        <w:rPr>
          <w:rFonts w:ascii="Cambria Math" w:hAnsi="Cambria Math" w:cs="Cambria Math"/>
        </w:rPr>
        <w:t>‑</w:t>
      </w:r>
      <w:r w:rsidRPr="00287292">
        <w:t>fold (OR 2.18, 95% CI 1.50–3.18; p = 0.005). After excluding patients who did not achieve ECMO weaning, VIS remained significantly higher among non</w:t>
      </w:r>
      <w:r w:rsidRPr="00287292">
        <w:rPr>
          <w:rFonts w:ascii="Cambria Math" w:hAnsi="Cambria Math" w:cs="Cambria Math"/>
        </w:rPr>
        <w:t>‑</w:t>
      </w:r>
      <w:r w:rsidRPr="00287292">
        <w:t>survivors (9.4 [5.9–14.05] vs 3.1 [1.5–4.9]; p = 0.03). Pulsatility pressure was greater in non</w:t>
      </w:r>
      <w:r w:rsidRPr="00287292">
        <w:rPr>
          <w:rFonts w:ascii="Cambria Math" w:hAnsi="Cambria Math" w:cs="Cambria Math"/>
        </w:rPr>
        <w:t>‑</w:t>
      </w:r>
      <w:r w:rsidRPr="00287292">
        <w:t>survivors at 2 hours post</w:t>
      </w:r>
      <w:r w:rsidRPr="00287292">
        <w:rPr>
          <w:rFonts w:ascii="Cambria Math" w:hAnsi="Cambria Math" w:cs="Cambria Math"/>
        </w:rPr>
        <w:t>‑</w:t>
      </w:r>
      <w:r w:rsidRPr="00287292">
        <w:t>cannulation (31.0 [22.2–34.8] vs 16.5 [11.0–26.2]; p = 0.04), with an OR of 1.068 (95% CI 1.000–1.142; p = 0.051).</w:t>
      </w:r>
      <w:r>
        <w:t xml:space="preserve"> </w:t>
      </w:r>
      <w:r w:rsidRPr="00287292">
        <w:t>Bleeding was the most common complication. Non</w:t>
      </w:r>
      <w:r w:rsidRPr="00287292">
        <w:rPr>
          <w:rFonts w:ascii="Cambria Math" w:hAnsi="Cambria Math" w:cs="Cambria Math"/>
        </w:rPr>
        <w:t>‑</w:t>
      </w:r>
      <w:r w:rsidRPr="00287292">
        <w:t>survivors required more red blood cell (RBC) transfusions at 12 hours (4 [2.2–8.8] vs 2 [1.0–2.0]; p = 0.008) and during the whole ECMO run (12.5 [10–18] vs 4.5 [2–6]; p = 0.001). Total RBC transfusions were significantly associated with mortality (OR 1.582, 95% CI 1.231–2.393; p = 0.0046).</w:t>
      </w:r>
    </w:p>
    <w:p w14:paraId="6FF3B406" w14:textId="496FB30C" w:rsidR="00577E4E" w:rsidRPr="00287292" w:rsidRDefault="00577E4E" w:rsidP="00577E4E">
      <w:pPr>
        <w:jc w:val="both"/>
      </w:pPr>
      <w:r w:rsidRPr="00287292">
        <w:rPr>
          <w:b/>
          <w:bCs/>
        </w:rPr>
        <w:lastRenderedPageBreak/>
        <w:t>Conclusions</w:t>
      </w:r>
      <w:r w:rsidRPr="00287292">
        <w:t xml:space="preserve">: In PEA patients </w:t>
      </w:r>
      <w:r w:rsidR="00BE7ED1" w:rsidRPr="00BE7ED1">
        <w:t>VA-ECMO is a crucial perioperative rescue therapy, enabling 57% favourable outcome at discharge in otherwise not non-survivable cases</w:t>
      </w:r>
      <w:r w:rsidR="00BE7ED1">
        <w:t>; Perioperative</w:t>
      </w:r>
      <w:r w:rsidRPr="00287292">
        <w:t xml:space="preserve"> higher WHO functional class and right ventricular impairment identify a subgroup at particularly high risk of in</w:t>
      </w:r>
      <w:r w:rsidRPr="00287292">
        <w:rPr>
          <w:rFonts w:ascii="Cambria Math" w:hAnsi="Cambria Math" w:cs="Cambria Math"/>
        </w:rPr>
        <w:t>‑</w:t>
      </w:r>
      <w:r w:rsidRPr="00287292">
        <w:t>hospital death.</w:t>
      </w:r>
      <w:r w:rsidR="00BE7ED1">
        <w:t xml:space="preserve"> </w:t>
      </w:r>
      <w:r w:rsidR="00BE7ED1" w:rsidRPr="00BE7ED1">
        <w:t>Hemodynamic instability in the early post</w:t>
      </w:r>
      <w:r w:rsidR="00BE7ED1" w:rsidRPr="00BE7ED1">
        <w:noBreakHyphen/>
        <w:t xml:space="preserve">cannulation phase and bleeding </w:t>
      </w:r>
      <w:r w:rsidR="00BE7ED1">
        <w:t>are</w:t>
      </w:r>
      <w:r w:rsidR="00BE7ED1" w:rsidRPr="00BE7ED1">
        <w:t xml:space="preserve"> strongly associated with patient outcome. Instability, </w:t>
      </w:r>
      <w:r w:rsidR="003F120A">
        <w:t xml:space="preserve">especially </w:t>
      </w:r>
      <w:r w:rsidR="00D63E07">
        <w:t>when</w:t>
      </w:r>
      <w:r w:rsidR="00BE7ED1" w:rsidRPr="00BE7ED1">
        <w:t xml:space="preserve"> related to </w:t>
      </w:r>
      <w:r w:rsidR="003F120A">
        <w:t>r</w:t>
      </w:r>
      <w:r w:rsidR="00BE7ED1" w:rsidRPr="00BE7ED1">
        <w:t xml:space="preserve">ight </w:t>
      </w:r>
      <w:r w:rsidR="00B62D65">
        <w:t>v</w:t>
      </w:r>
      <w:r w:rsidR="00B62D65" w:rsidRPr="00BE7ED1">
        <w:t>entricular</w:t>
      </w:r>
      <w:r w:rsidR="00BE7ED1" w:rsidRPr="00BE7ED1">
        <w:t xml:space="preserve"> failure, may render ECMO support futile</w:t>
      </w:r>
      <w:r w:rsidR="00D63E07">
        <w:t>.</w:t>
      </w:r>
    </w:p>
    <w:p w14:paraId="7767498E" w14:textId="77777777" w:rsidR="0011166B" w:rsidRDefault="0011166B"/>
    <w:sectPr w:rsidR="001116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E4E"/>
    <w:rsid w:val="000D5869"/>
    <w:rsid w:val="0011166B"/>
    <w:rsid w:val="00154503"/>
    <w:rsid w:val="001A30B7"/>
    <w:rsid w:val="003C08C4"/>
    <w:rsid w:val="003F120A"/>
    <w:rsid w:val="004E165C"/>
    <w:rsid w:val="005518C4"/>
    <w:rsid w:val="00577E4E"/>
    <w:rsid w:val="00610637"/>
    <w:rsid w:val="008A590E"/>
    <w:rsid w:val="00AC25C5"/>
    <w:rsid w:val="00B60304"/>
    <w:rsid w:val="00B62D65"/>
    <w:rsid w:val="00BA31E0"/>
    <w:rsid w:val="00BE7ED1"/>
    <w:rsid w:val="00D63E07"/>
    <w:rsid w:val="00DC2640"/>
    <w:rsid w:val="00F07399"/>
    <w:rsid w:val="00FA4A7F"/>
    <w:rsid w:val="00FE3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58FA3C"/>
  <w15:chartTrackingRefBased/>
  <w15:docId w15:val="{7AD2BCA3-EB13-124D-B1BC-53B4CAC30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E4E"/>
  </w:style>
  <w:style w:type="paragraph" w:styleId="Heading1">
    <w:name w:val="heading 1"/>
    <w:basedOn w:val="Normal"/>
    <w:next w:val="Normal"/>
    <w:link w:val="Heading1Char"/>
    <w:uiPriority w:val="9"/>
    <w:qFormat/>
    <w:rsid w:val="00577E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7E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7E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7E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7E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7E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7E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7E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7E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7E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7E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7E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7E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7E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7E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7E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7E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7E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7E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7E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7E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7E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7E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7E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7E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7E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7E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7E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7E4E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577E4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484</Words>
  <Characters>2759</Characters>
  <Application>Microsoft Office Word</Application>
  <DocSecurity>0</DocSecurity>
  <Lines>22</Lines>
  <Paragraphs>6</Paragraphs>
  <ScaleCrop>false</ScaleCrop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MATONE, Tommaso (ROYAL PAPWORTH HOSPITAL NHS FOUNDATION TRUST)</dc:creator>
  <cp:keywords/>
  <dc:description/>
  <cp:lastModifiedBy>MATONE, Tommaso (ROYAL PAPWORTH HOSPITAL NHS FOUNDATION TRUST)</cp:lastModifiedBy>
  <cp:revision>18</cp:revision>
  <dcterms:created xsi:type="dcterms:W3CDTF">2026-03-15T12:15:00Z</dcterms:created>
  <dcterms:modified xsi:type="dcterms:W3CDTF">2026-03-15T21:21:00Z</dcterms:modified>
</cp:coreProperties>
</file>